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E5F7" w14:textId="3F33E437" w:rsidR="00662BD9" w:rsidRDefault="008F1ECD" w:rsidP="00220CC7">
      <w:pPr>
        <w:pStyle w:val="BodyA"/>
        <w:jc w:val="center"/>
        <w:rPr>
          <w:rFonts w:ascii="Cambria" w:eastAsia="Cambria" w:hAnsi="Cambria" w:cs="Cambria"/>
          <w:b/>
          <w:bCs/>
          <w:kern w:val="1"/>
          <w:sz w:val="36"/>
          <w:szCs w:val="36"/>
        </w:rPr>
      </w:pPr>
      <w:r w:rsidRPr="007D788F">
        <w:rPr>
          <w:rFonts w:ascii="Cambria" w:hAnsi="Cambria"/>
          <w:b/>
          <w:bCs/>
          <w:kern w:val="1"/>
          <w:sz w:val="40"/>
          <w:szCs w:val="40"/>
        </w:rPr>
        <w:t xml:space="preserve">La primera aproximación de terapia génica para la </w:t>
      </w:r>
      <w:proofErr w:type="spellStart"/>
      <w:r w:rsidRPr="007D788F">
        <w:rPr>
          <w:rFonts w:ascii="Cambria" w:hAnsi="Cambria"/>
          <w:b/>
          <w:bCs/>
          <w:kern w:val="1"/>
          <w:sz w:val="40"/>
          <w:szCs w:val="40"/>
        </w:rPr>
        <w:t>leucoencefalopatí</w:t>
      </w:r>
      <w:proofErr w:type="spellEnd"/>
      <w:r w:rsidRPr="007D788F">
        <w:rPr>
          <w:rFonts w:ascii="Cambria" w:hAnsi="Cambria"/>
          <w:b/>
          <w:bCs/>
          <w:kern w:val="1"/>
          <w:sz w:val="40"/>
          <w:szCs w:val="40"/>
          <w:lang w:val="pt-PT"/>
        </w:rPr>
        <w:t>a MLC, designada como medicamento hu</w:t>
      </w:r>
      <w:r w:rsidRPr="007D788F">
        <w:rPr>
          <w:rFonts w:ascii="Cambria" w:hAnsi="Cambria"/>
          <w:b/>
          <w:bCs/>
          <w:kern w:val="1"/>
          <w:sz w:val="40"/>
          <w:szCs w:val="40"/>
        </w:rPr>
        <w:t>é</w:t>
      </w:r>
      <w:r w:rsidRPr="007D788F">
        <w:rPr>
          <w:rFonts w:ascii="Cambria" w:hAnsi="Cambria"/>
          <w:b/>
          <w:bCs/>
          <w:kern w:val="1"/>
          <w:sz w:val="40"/>
          <w:szCs w:val="40"/>
          <w:lang w:val="it-IT"/>
        </w:rPr>
        <w:t>rfano</w:t>
      </w:r>
    </w:p>
    <w:p w14:paraId="006EA225" w14:textId="77777777" w:rsidR="007D788F" w:rsidRPr="005A3F2D" w:rsidRDefault="007D788F" w:rsidP="007D788F">
      <w:pPr>
        <w:rPr>
          <w:rFonts w:ascii="Cambria" w:hAnsi="Cambria"/>
          <w:b/>
          <w:bCs/>
          <w:i/>
          <w:iCs/>
          <w:color w:val="617074"/>
          <w:sz w:val="26"/>
          <w:szCs w:val="26"/>
          <w:u w:color="000000"/>
          <w:lang w:val="es-ES"/>
        </w:rPr>
      </w:pPr>
    </w:p>
    <w:p w14:paraId="57F01191" w14:textId="7FBC935F" w:rsidR="00662BD9" w:rsidRDefault="008F1ECD">
      <w:pPr>
        <w:pStyle w:val="Prrafodelista"/>
        <w:numPr>
          <w:ilvl w:val="0"/>
          <w:numId w:val="2"/>
        </w:numPr>
        <w:rPr>
          <w:rFonts w:ascii="Cambria" w:hAnsi="Cambria"/>
          <w:b/>
          <w:bCs/>
          <w:i/>
          <w:iCs/>
          <w:color w:val="617074"/>
          <w:sz w:val="26"/>
          <w:szCs w:val="26"/>
        </w:rPr>
      </w:pPr>
      <w:r>
        <w:rPr>
          <w:rFonts w:ascii="Cambria" w:hAnsi="Cambria"/>
          <w:b/>
          <w:bCs/>
          <w:i/>
          <w:iCs/>
          <w:color w:val="617074"/>
          <w:kern w:val="1"/>
          <w:sz w:val="26"/>
          <w:szCs w:val="26"/>
          <w:u w:color="617074"/>
        </w:rPr>
        <w:t xml:space="preserve">La </w:t>
      </w:r>
      <w:proofErr w:type="spellStart"/>
      <w:r>
        <w:rPr>
          <w:rFonts w:ascii="Cambria" w:hAnsi="Cambria"/>
          <w:b/>
          <w:bCs/>
          <w:i/>
          <w:iCs/>
          <w:color w:val="617074"/>
          <w:kern w:val="1"/>
          <w:sz w:val="26"/>
          <w:szCs w:val="26"/>
          <w:u w:color="617074"/>
        </w:rPr>
        <w:t>leucoencefalopatía</w:t>
      </w:r>
      <w:proofErr w:type="spellEnd"/>
      <w:r>
        <w:rPr>
          <w:rFonts w:ascii="Cambria" w:hAnsi="Cambria"/>
          <w:b/>
          <w:bCs/>
          <w:i/>
          <w:iCs/>
          <w:color w:val="617074"/>
          <w:kern w:val="1"/>
          <w:sz w:val="26"/>
          <w:szCs w:val="26"/>
          <w:u w:color="617074"/>
        </w:rPr>
        <w:t xml:space="preserve"> MLC es una enfermedad genética rara caracterizada por </w:t>
      </w:r>
      <w:proofErr w:type="spellStart"/>
      <w:r>
        <w:rPr>
          <w:rFonts w:ascii="Cambria" w:hAnsi="Cambria"/>
          <w:b/>
          <w:bCs/>
          <w:i/>
          <w:iCs/>
          <w:color w:val="617074"/>
          <w:kern w:val="1"/>
          <w:sz w:val="26"/>
          <w:szCs w:val="26"/>
          <w:u w:color="617074"/>
        </w:rPr>
        <w:t>megalencefalia</w:t>
      </w:r>
      <w:proofErr w:type="spellEnd"/>
      <w:r>
        <w:rPr>
          <w:rFonts w:ascii="Cambria" w:hAnsi="Cambria"/>
          <w:b/>
          <w:bCs/>
          <w:i/>
          <w:iCs/>
          <w:color w:val="617074"/>
          <w:kern w:val="1"/>
          <w:sz w:val="26"/>
          <w:szCs w:val="26"/>
          <w:u w:color="617074"/>
        </w:rPr>
        <w:t>, pérdida de funciones motoras, epilepsia y retraso mental moderado.</w:t>
      </w:r>
    </w:p>
    <w:p w14:paraId="2FDEC38A" w14:textId="77777777" w:rsidR="00662BD9" w:rsidRPr="005A3F2D" w:rsidRDefault="00662BD9" w:rsidP="007D788F">
      <w:pPr>
        <w:rPr>
          <w:rFonts w:ascii="Cambria" w:eastAsia="Cambria" w:hAnsi="Cambria" w:cs="Cambria"/>
          <w:b/>
          <w:bCs/>
          <w:i/>
          <w:iCs/>
          <w:color w:val="617074"/>
          <w:kern w:val="1"/>
          <w:sz w:val="26"/>
          <w:szCs w:val="26"/>
          <w:u w:color="617074"/>
          <w:lang w:val="es-ES"/>
        </w:rPr>
      </w:pPr>
    </w:p>
    <w:p w14:paraId="10005323" w14:textId="512DFEB7" w:rsidR="00662BD9" w:rsidRDefault="008F1ECD">
      <w:pPr>
        <w:pStyle w:val="Prrafodelista"/>
        <w:numPr>
          <w:ilvl w:val="0"/>
          <w:numId w:val="2"/>
        </w:numPr>
        <w:rPr>
          <w:rFonts w:ascii="Cambria" w:hAnsi="Cambria"/>
          <w:b/>
          <w:bCs/>
          <w:i/>
          <w:iCs/>
          <w:color w:val="617074"/>
          <w:sz w:val="26"/>
          <w:szCs w:val="26"/>
        </w:rPr>
      </w:pPr>
      <w:r>
        <w:rPr>
          <w:rFonts w:ascii="Cambria" w:hAnsi="Cambria"/>
          <w:b/>
          <w:bCs/>
          <w:i/>
          <w:iCs/>
          <w:color w:val="617074"/>
          <w:kern w:val="1"/>
          <w:sz w:val="26"/>
          <w:szCs w:val="26"/>
          <w:u w:color="617074"/>
        </w:rPr>
        <w:t>La aproximación de terapia génica designada como medicamento huérfano ha reducido la sintomatología de la MLC en la fase preclínica, en ratones modelo de la enfermedad.</w:t>
      </w:r>
    </w:p>
    <w:p w14:paraId="77821C8F" w14:textId="77777777" w:rsidR="00662BD9" w:rsidRPr="007D788F" w:rsidRDefault="00662BD9" w:rsidP="007D788F">
      <w:pPr>
        <w:ind w:left="360"/>
        <w:rPr>
          <w:rFonts w:ascii="Cambria" w:eastAsia="Cambria" w:hAnsi="Cambria" w:cs="Cambria"/>
          <w:b/>
          <w:bCs/>
          <w:i/>
          <w:iCs/>
          <w:color w:val="617074"/>
          <w:kern w:val="1"/>
          <w:sz w:val="26"/>
          <w:szCs w:val="26"/>
          <w:u w:color="617074"/>
          <w:lang w:val="es-ES"/>
        </w:rPr>
      </w:pPr>
    </w:p>
    <w:p w14:paraId="558E98A7" w14:textId="096BEA17" w:rsidR="00662BD9" w:rsidRPr="007D788F" w:rsidRDefault="008F1ECD">
      <w:pPr>
        <w:pStyle w:val="Prrafodelista"/>
        <w:numPr>
          <w:ilvl w:val="0"/>
          <w:numId w:val="2"/>
        </w:numPr>
        <w:rPr>
          <w:rFonts w:ascii="Cambria" w:hAnsi="Cambria"/>
          <w:b/>
          <w:bCs/>
          <w:i/>
          <w:iCs/>
          <w:color w:val="617074"/>
          <w:sz w:val="26"/>
          <w:szCs w:val="26"/>
        </w:rPr>
      </w:pPr>
      <w:r>
        <w:rPr>
          <w:rFonts w:ascii="Cambria" w:hAnsi="Cambria"/>
          <w:b/>
          <w:bCs/>
          <w:i/>
          <w:iCs/>
          <w:color w:val="617074"/>
          <w:kern w:val="1"/>
          <w:sz w:val="26"/>
          <w:szCs w:val="26"/>
          <w:u w:color="617074"/>
        </w:rPr>
        <w:t xml:space="preserve">El </w:t>
      </w:r>
      <w:r w:rsidRPr="007D788F">
        <w:rPr>
          <w:rFonts w:ascii="Cambria" w:hAnsi="Cambria"/>
          <w:b/>
          <w:bCs/>
          <w:i/>
          <w:iCs/>
          <w:color w:val="617074"/>
          <w:kern w:val="1"/>
          <w:sz w:val="26"/>
          <w:szCs w:val="26"/>
          <w:u w:color="617074"/>
        </w:rPr>
        <w:t>desarrollo de este medicamento huérfano</w:t>
      </w:r>
      <w:r w:rsidRPr="007D788F">
        <w:rPr>
          <w:rFonts w:ascii="Cambria" w:hAnsi="Cambria"/>
          <w:b/>
          <w:bCs/>
          <w:i/>
          <w:iCs/>
          <w:color w:val="617074"/>
          <w:sz w:val="26"/>
          <w:szCs w:val="26"/>
        </w:rPr>
        <w:t xml:space="preserve"> ha sido coliderado por </w:t>
      </w:r>
      <w:r w:rsidRPr="007D788F">
        <w:rPr>
          <w:rFonts w:ascii="Cambria" w:hAnsi="Cambria"/>
          <w:b/>
          <w:bCs/>
          <w:i/>
          <w:iCs/>
          <w:color w:val="617074"/>
          <w:kern w:val="1"/>
          <w:sz w:val="26"/>
          <w:szCs w:val="26"/>
        </w:rPr>
        <w:t>el grupo de investigación en terapia génica que dirige </w:t>
      </w:r>
      <w:r w:rsidRPr="007D788F">
        <w:rPr>
          <w:rFonts w:ascii="Cambria" w:hAnsi="Cambria"/>
          <w:b/>
          <w:bCs/>
          <w:i/>
          <w:iCs/>
          <w:color w:val="617074"/>
          <w:kern w:val="1"/>
          <w:sz w:val="26"/>
          <w:szCs w:val="26"/>
          <w:lang w:val="pt-PT"/>
        </w:rPr>
        <w:t>Assumpci</w:t>
      </w:r>
      <w:proofErr w:type="spellStart"/>
      <w:r w:rsidRPr="007D788F">
        <w:rPr>
          <w:rFonts w:ascii="Cambria" w:hAnsi="Cambria"/>
          <w:b/>
          <w:bCs/>
          <w:i/>
          <w:iCs/>
          <w:color w:val="617074"/>
          <w:kern w:val="1"/>
          <w:sz w:val="26"/>
          <w:szCs w:val="26"/>
        </w:rPr>
        <w:t>ó</w:t>
      </w:r>
      <w:proofErr w:type="spellEnd"/>
      <w:r w:rsidRPr="007D788F">
        <w:rPr>
          <w:rFonts w:ascii="Cambria" w:hAnsi="Cambria"/>
          <w:b/>
          <w:bCs/>
          <w:i/>
          <w:iCs/>
          <w:color w:val="617074"/>
          <w:kern w:val="1"/>
          <w:sz w:val="26"/>
          <w:szCs w:val="26"/>
          <w:lang w:val="de-DE"/>
        </w:rPr>
        <w:t xml:space="preserve"> Bosch</w:t>
      </w:r>
      <w:r w:rsidRPr="007D788F">
        <w:rPr>
          <w:rFonts w:ascii="Cambria" w:hAnsi="Cambria"/>
          <w:b/>
          <w:bCs/>
          <w:i/>
          <w:iCs/>
          <w:color w:val="617074"/>
          <w:kern w:val="1"/>
          <w:sz w:val="26"/>
          <w:szCs w:val="26"/>
        </w:rPr>
        <w:t> en la UAB y el grupo de investigación de la U</w:t>
      </w:r>
      <w:r w:rsidR="007D788F" w:rsidRPr="007D788F">
        <w:rPr>
          <w:rFonts w:ascii="Cambria" w:hAnsi="Cambria"/>
          <w:b/>
          <w:bCs/>
          <w:i/>
          <w:iCs/>
          <w:color w:val="617074"/>
          <w:kern w:val="1"/>
          <w:sz w:val="26"/>
          <w:szCs w:val="26"/>
        </w:rPr>
        <w:t>B</w:t>
      </w:r>
      <w:r w:rsidRPr="007D788F">
        <w:rPr>
          <w:rFonts w:ascii="Cambria" w:hAnsi="Cambria"/>
          <w:b/>
          <w:bCs/>
          <w:i/>
          <w:iCs/>
          <w:color w:val="617074"/>
          <w:kern w:val="1"/>
          <w:sz w:val="26"/>
          <w:szCs w:val="26"/>
        </w:rPr>
        <w:t>-CIBERER dirigido por Raúl Est</w:t>
      </w:r>
      <w:r w:rsidR="00D65F5B" w:rsidRPr="007D788F">
        <w:rPr>
          <w:rFonts w:ascii="Cambria" w:hAnsi="Cambria"/>
          <w:b/>
          <w:bCs/>
          <w:i/>
          <w:iCs/>
          <w:color w:val="617074"/>
          <w:kern w:val="1"/>
          <w:sz w:val="26"/>
          <w:szCs w:val="26"/>
        </w:rPr>
        <w:t>é</w:t>
      </w:r>
      <w:r w:rsidRPr="007D788F">
        <w:rPr>
          <w:rFonts w:ascii="Cambria" w:hAnsi="Cambria"/>
          <w:b/>
          <w:bCs/>
          <w:i/>
          <w:iCs/>
          <w:color w:val="617074"/>
          <w:kern w:val="1"/>
          <w:sz w:val="26"/>
          <w:szCs w:val="26"/>
        </w:rPr>
        <w:t>ve</w:t>
      </w:r>
      <w:r w:rsidR="00D65F5B" w:rsidRPr="007D788F">
        <w:rPr>
          <w:rFonts w:ascii="Cambria" w:hAnsi="Cambria"/>
          <w:b/>
          <w:bCs/>
          <w:i/>
          <w:iCs/>
          <w:color w:val="617074"/>
          <w:kern w:val="1"/>
          <w:sz w:val="26"/>
          <w:szCs w:val="26"/>
        </w:rPr>
        <w:t>z</w:t>
      </w:r>
      <w:r w:rsidRPr="007D788F">
        <w:rPr>
          <w:rFonts w:ascii="Cambria" w:hAnsi="Cambria"/>
          <w:b/>
          <w:bCs/>
          <w:i/>
          <w:iCs/>
          <w:color w:val="617074"/>
          <w:kern w:val="1"/>
          <w:sz w:val="26"/>
          <w:szCs w:val="26"/>
        </w:rPr>
        <w:t xml:space="preserve">. También han </w:t>
      </w:r>
      <w:r w:rsidRPr="007D788F">
        <w:rPr>
          <w:rFonts w:ascii="Cambria" w:hAnsi="Cambria"/>
          <w:b/>
          <w:bCs/>
          <w:i/>
          <w:iCs/>
          <w:color w:val="617074"/>
          <w:kern w:val="1"/>
          <w:sz w:val="26"/>
          <w:szCs w:val="26"/>
          <w:u w:color="617074"/>
        </w:rPr>
        <w:t>participado IDIBELL, VHIR e ICREA</w:t>
      </w:r>
      <w:r w:rsidR="0081736E" w:rsidRPr="007D788F">
        <w:rPr>
          <w:rFonts w:ascii="Cambria" w:hAnsi="Cambria"/>
          <w:b/>
          <w:bCs/>
          <w:i/>
          <w:iCs/>
          <w:color w:val="617074"/>
          <w:kern w:val="1"/>
          <w:sz w:val="26"/>
          <w:szCs w:val="26"/>
          <w:u w:color="617074"/>
        </w:rPr>
        <w:t>.</w:t>
      </w:r>
    </w:p>
    <w:p w14:paraId="5A831E80" w14:textId="77777777" w:rsidR="00662BD9" w:rsidRPr="007D788F" w:rsidRDefault="00662BD9" w:rsidP="007D788F">
      <w:pPr>
        <w:ind w:left="360"/>
        <w:rPr>
          <w:rFonts w:ascii="Cambria" w:eastAsia="Cambria" w:hAnsi="Cambria" w:cs="Cambria"/>
          <w:b/>
          <w:bCs/>
          <w:i/>
          <w:iCs/>
          <w:color w:val="617074"/>
          <w:kern w:val="1"/>
          <w:sz w:val="26"/>
          <w:szCs w:val="26"/>
          <w:u w:color="617074"/>
          <w:lang w:val="es-ES"/>
        </w:rPr>
      </w:pPr>
    </w:p>
    <w:p w14:paraId="58E1566F" w14:textId="12E39974" w:rsidR="00662BD9" w:rsidRPr="007D788F" w:rsidRDefault="008F1ECD" w:rsidP="007D788F">
      <w:pPr>
        <w:pStyle w:val="Prrafodelista"/>
        <w:numPr>
          <w:ilvl w:val="0"/>
          <w:numId w:val="2"/>
        </w:numPr>
        <w:rPr>
          <w:rFonts w:ascii="Cambria" w:hAnsi="Cambria"/>
          <w:b/>
          <w:bCs/>
          <w:i/>
          <w:iCs/>
          <w:color w:val="617074"/>
          <w:sz w:val="26"/>
          <w:szCs w:val="26"/>
        </w:rPr>
      </w:pPr>
      <w:r w:rsidRPr="007D788F">
        <w:rPr>
          <w:rFonts w:ascii="Cambria" w:hAnsi="Cambria"/>
          <w:b/>
          <w:bCs/>
          <w:i/>
          <w:iCs/>
          <w:color w:val="617074"/>
          <w:kern w:val="1"/>
          <w:sz w:val="26"/>
          <w:szCs w:val="26"/>
          <w:u w:color="617074"/>
        </w:rPr>
        <w:t>La designación</w:t>
      </w:r>
      <w:r>
        <w:rPr>
          <w:rFonts w:ascii="Cambria" w:hAnsi="Cambria"/>
          <w:b/>
          <w:bCs/>
          <w:i/>
          <w:iCs/>
          <w:color w:val="617074"/>
          <w:kern w:val="1"/>
          <w:sz w:val="26"/>
          <w:szCs w:val="26"/>
          <w:u w:color="617074"/>
        </w:rPr>
        <w:t xml:space="preserve"> como medicamento huérfano</w:t>
      </w:r>
      <w:r w:rsidR="00D65F5B">
        <w:rPr>
          <w:rFonts w:ascii="Cambria" w:hAnsi="Cambria"/>
          <w:b/>
          <w:bCs/>
          <w:i/>
          <w:iCs/>
          <w:color w:val="617074"/>
          <w:kern w:val="1"/>
          <w:sz w:val="26"/>
          <w:szCs w:val="26"/>
          <w:u w:color="617074"/>
        </w:rPr>
        <w:t>, cuyo promotor es el CIBERER,</w:t>
      </w:r>
      <w:r w:rsidR="007D788F">
        <w:rPr>
          <w:rFonts w:ascii="Cambria" w:hAnsi="Cambria"/>
          <w:b/>
          <w:bCs/>
          <w:i/>
          <w:iCs/>
          <w:color w:val="617074"/>
          <w:kern w:val="1"/>
          <w:sz w:val="26"/>
          <w:szCs w:val="26"/>
          <w:u w:color="617074"/>
        </w:rPr>
        <w:t xml:space="preserve"> </w:t>
      </w:r>
      <w:r>
        <w:rPr>
          <w:rFonts w:ascii="Cambria" w:hAnsi="Cambria"/>
          <w:b/>
          <w:bCs/>
          <w:i/>
          <w:iCs/>
          <w:color w:val="617074"/>
          <w:kern w:val="1"/>
          <w:sz w:val="26"/>
          <w:szCs w:val="26"/>
          <w:u w:color="617074"/>
        </w:rPr>
        <w:t>ofrece incentivos para continuar el proceso de investigación clínica con el objetivo final de obtener la autorización de comercialización.</w:t>
      </w:r>
    </w:p>
    <w:p w14:paraId="7022FDB5" w14:textId="77777777" w:rsidR="007D788F" w:rsidRDefault="007D788F">
      <w:pPr>
        <w:pStyle w:val="BodyA"/>
        <w:rPr>
          <w:rFonts w:ascii="Cambria" w:hAnsi="Cambria"/>
          <w:b/>
          <w:bCs/>
          <w:kern w:val="1"/>
          <w:sz w:val="24"/>
          <w:szCs w:val="24"/>
        </w:rPr>
      </w:pPr>
    </w:p>
    <w:p w14:paraId="57BDCC4B" w14:textId="283A79C4" w:rsidR="00662BD9" w:rsidRDefault="008F1ECD">
      <w:pPr>
        <w:pStyle w:val="BodyA"/>
        <w:rPr>
          <w:rFonts w:ascii="Cambria" w:eastAsia="Cambria" w:hAnsi="Cambria" w:cs="Cambria"/>
          <w:kern w:val="1"/>
          <w:sz w:val="24"/>
          <w:szCs w:val="24"/>
        </w:rPr>
      </w:pPr>
      <w:r>
        <w:rPr>
          <w:rFonts w:ascii="Cambria" w:hAnsi="Cambria"/>
          <w:b/>
          <w:bCs/>
          <w:kern w:val="1"/>
          <w:sz w:val="24"/>
          <w:szCs w:val="24"/>
        </w:rPr>
        <w:t>Barcelona,</w:t>
      </w:r>
      <w:r w:rsidR="00AA06D2">
        <w:rPr>
          <w:rFonts w:ascii="Cambria" w:hAnsi="Cambria"/>
          <w:b/>
          <w:bCs/>
          <w:kern w:val="1"/>
          <w:sz w:val="24"/>
          <w:szCs w:val="24"/>
        </w:rPr>
        <w:t xml:space="preserve"> 1</w:t>
      </w:r>
      <w:r w:rsidR="00156C42">
        <w:rPr>
          <w:rFonts w:ascii="Cambria" w:hAnsi="Cambria"/>
          <w:b/>
          <w:bCs/>
          <w:kern w:val="1"/>
          <w:sz w:val="24"/>
          <w:szCs w:val="24"/>
        </w:rPr>
        <w:t>9</w:t>
      </w:r>
      <w:r w:rsidR="00AA06D2">
        <w:rPr>
          <w:rFonts w:ascii="Cambria" w:hAnsi="Cambria"/>
          <w:b/>
          <w:bCs/>
          <w:kern w:val="1"/>
          <w:sz w:val="24"/>
          <w:szCs w:val="24"/>
        </w:rPr>
        <w:t xml:space="preserve"> de noviembre</w:t>
      </w:r>
      <w:r w:rsidRPr="00AA06D2">
        <w:rPr>
          <w:rFonts w:ascii="Cambria" w:hAnsi="Cambria"/>
          <w:b/>
          <w:bCs/>
          <w:kern w:val="1"/>
          <w:sz w:val="24"/>
          <w:szCs w:val="24"/>
        </w:rPr>
        <w:t>.</w:t>
      </w:r>
      <w:r w:rsidRPr="00AA06D2">
        <w:rPr>
          <w:rFonts w:ascii="Cambria" w:hAnsi="Cambria"/>
          <w:kern w:val="1"/>
          <w:sz w:val="24"/>
          <w:szCs w:val="24"/>
        </w:rPr>
        <w:t xml:space="preserve"> La</w:t>
      </w:r>
      <w:r>
        <w:rPr>
          <w:rFonts w:ascii="Cambria" w:hAnsi="Cambria"/>
          <w:kern w:val="1"/>
          <w:sz w:val="24"/>
          <w:szCs w:val="24"/>
        </w:rPr>
        <w:t xml:space="preserve"> primera aproximación de terapia génica para tratar la </w:t>
      </w:r>
      <w:proofErr w:type="spellStart"/>
      <w:r>
        <w:rPr>
          <w:rFonts w:ascii="Cambria" w:hAnsi="Cambria"/>
          <w:kern w:val="1"/>
          <w:sz w:val="24"/>
          <w:szCs w:val="24"/>
        </w:rPr>
        <w:t>leucoencefalopatía</w:t>
      </w:r>
      <w:proofErr w:type="spellEnd"/>
      <w:r>
        <w:rPr>
          <w:rFonts w:ascii="Cambria" w:hAnsi="Cambria"/>
          <w:kern w:val="1"/>
          <w:sz w:val="24"/>
          <w:szCs w:val="24"/>
        </w:rPr>
        <w:t xml:space="preserve"> </w:t>
      </w:r>
      <w:proofErr w:type="spellStart"/>
      <w:r>
        <w:rPr>
          <w:rFonts w:ascii="Cambria" w:hAnsi="Cambria"/>
          <w:kern w:val="1"/>
          <w:sz w:val="24"/>
          <w:szCs w:val="24"/>
        </w:rPr>
        <w:t>megalencefálica</w:t>
      </w:r>
      <w:proofErr w:type="spellEnd"/>
      <w:r>
        <w:rPr>
          <w:rFonts w:ascii="Cambria" w:hAnsi="Cambria"/>
          <w:kern w:val="1"/>
          <w:sz w:val="24"/>
          <w:szCs w:val="24"/>
        </w:rPr>
        <w:t xml:space="preserve"> con quistes subcorticales (MLC) ha sido designada como medicamento huérfano por la Agencia Europea del Medicamento (EMA). Los responsables del trabajo han conseguido reducir la sintomatología de esta enfermedad rara en modelos </w:t>
      </w:r>
      <w:proofErr w:type="spellStart"/>
      <w:r>
        <w:rPr>
          <w:rFonts w:ascii="Cambria" w:hAnsi="Cambria"/>
          <w:kern w:val="1"/>
          <w:sz w:val="24"/>
          <w:szCs w:val="24"/>
        </w:rPr>
        <w:t>preclí</w:t>
      </w:r>
      <w:proofErr w:type="spellEnd"/>
      <w:r>
        <w:rPr>
          <w:rFonts w:ascii="Cambria" w:hAnsi="Cambria"/>
          <w:kern w:val="1"/>
          <w:sz w:val="24"/>
          <w:szCs w:val="24"/>
          <w:lang w:val="pt-PT"/>
        </w:rPr>
        <w:t>nicos.</w:t>
      </w:r>
    </w:p>
    <w:p w14:paraId="27534FA2" w14:textId="5D1ECDB0" w:rsidR="00662BD9" w:rsidRDefault="0081736E">
      <w:pPr>
        <w:pStyle w:val="BodyA"/>
        <w:rPr>
          <w:rFonts w:ascii="Cambria" w:eastAsia="Cambria" w:hAnsi="Cambria" w:cs="Cambria"/>
          <w:kern w:val="1"/>
          <w:sz w:val="24"/>
          <w:szCs w:val="24"/>
        </w:rPr>
      </w:pPr>
      <w:r>
        <w:rPr>
          <w:rFonts w:ascii="Cambria" w:hAnsi="Cambria"/>
          <w:kern w:val="1"/>
          <w:sz w:val="24"/>
          <w:szCs w:val="24"/>
          <w:lang w:val="pt-PT"/>
        </w:rPr>
        <w:t>La designación de e</w:t>
      </w:r>
      <w:r w:rsidR="008F1ECD">
        <w:rPr>
          <w:rFonts w:ascii="Cambria" w:hAnsi="Cambria"/>
          <w:kern w:val="1"/>
          <w:sz w:val="24"/>
          <w:szCs w:val="24"/>
          <w:lang w:val="pt-PT"/>
        </w:rPr>
        <w:t>ste medicamento hu</w:t>
      </w:r>
      <w:proofErr w:type="spellStart"/>
      <w:r w:rsidR="008F1ECD">
        <w:rPr>
          <w:rFonts w:ascii="Cambria" w:hAnsi="Cambria"/>
          <w:kern w:val="1"/>
          <w:sz w:val="24"/>
          <w:szCs w:val="24"/>
        </w:rPr>
        <w:t>érfano</w:t>
      </w:r>
      <w:proofErr w:type="spellEnd"/>
      <w:r w:rsidR="008F1ECD">
        <w:rPr>
          <w:rFonts w:ascii="Cambria" w:hAnsi="Cambria"/>
          <w:kern w:val="1"/>
          <w:sz w:val="24"/>
          <w:szCs w:val="24"/>
        </w:rPr>
        <w:t>,</w:t>
      </w:r>
      <w:r>
        <w:rPr>
          <w:rFonts w:ascii="Cambria" w:hAnsi="Cambria"/>
          <w:kern w:val="1"/>
          <w:sz w:val="24"/>
          <w:szCs w:val="24"/>
        </w:rPr>
        <w:t xml:space="preserve"> cuyo promotor es </w:t>
      </w:r>
      <w:r w:rsidR="008F1ECD">
        <w:rPr>
          <w:rFonts w:ascii="Cambria" w:hAnsi="Cambria"/>
          <w:kern w:val="1"/>
          <w:sz w:val="24"/>
          <w:szCs w:val="24"/>
        </w:rPr>
        <w:t xml:space="preserve">el </w:t>
      </w:r>
      <w:r w:rsidR="007D788F">
        <w:rPr>
          <w:rFonts w:ascii="Cambria" w:hAnsi="Cambria"/>
          <w:kern w:val="1"/>
          <w:sz w:val="24"/>
          <w:szCs w:val="24"/>
        </w:rPr>
        <w:t xml:space="preserve">Centro de Investigación Biomédica en Red </w:t>
      </w:r>
      <w:r w:rsidR="008F1ECD">
        <w:rPr>
          <w:rFonts w:ascii="Cambria" w:hAnsi="Cambria"/>
          <w:kern w:val="1"/>
          <w:sz w:val="24"/>
          <w:szCs w:val="24"/>
        </w:rPr>
        <w:t>de Enfermedades Raras (CIBERER), ha sido</w:t>
      </w:r>
      <w:r>
        <w:rPr>
          <w:rFonts w:ascii="Cambria" w:hAnsi="Cambria"/>
          <w:kern w:val="1"/>
          <w:sz w:val="24"/>
          <w:szCs w:val="24"/>
        </w:rPr>
        <w:t xml:space="preserve"> resultado del proyecto de investigación liderado</w:t>
      </w:r>
      <w:r w:rsidR="008F1ECD">
        <w:rPr>
          <w:rFonts w:ascii="Cambria" w:hAnsi="Cambria"/>
          <w:kern w:val="1"/>
          <w:sz w:val="24"/>
          <w:szCs w:val="24"/>
        </w:rPr>
        <w:t xml:space="preserve"> por el grupo de investigación en terapia génica que dirige</w:t>
      </w:r>
      <w:r w:rsidR="008F1ECD">
        <w:rPr>
          <w:rFonts w:ascii="Cambria" w:hAnsi="Cambria"/>
          <w:b/>
          <w:bCs/>
          <w:kern w:val="1"/>
          <w:sz w:val="24"/>
          <w:szCs w:val="24"/>
        </w:rPr>
        <w:t> </w:t>
      </w:r>
      <w:r w:rsidR="008F1ECD">
        <w:rPr>
          <w:rFonts w:ascii="Cambria" w:hAnsi="Cambria"/>
          <w:kern w:val="1"/>
          <w:sz w:val="24"/>
          <w:szCs w:val="24"/>
          <w:lang w:val="pt-PT"/>
        </w:rPr>
        <w:t>Assumpci</w:t>
      </w:r>
      <w:proofErr w:type="spellStart"/>
      <w:r w:rsidR="008F1ECD">
        <w:rPr>
          <w:rFonts w:ascii="Cambria" w:hAnsi="Cambria"/>
          <w:kern w:val="1"/>
          <w:sz w:val="24"/>
          <w:szCs w:val="24"/>
        </w:rPr>
        <w:t>ó</w:t>
      </w:r>
      <w:proofErr w:type="spellEnd"/>
      <w:r w:rsidR="008F1ECD">
        <w:rPr>
          <w:rFonts w:ascii="Cambria" w:hAnsi="Cambria"/>
          <w:kern w:val="1"/>
          <w:sz w:val="24"/>
          <w:szCs w:val="24"/>
          <w:lang w:val="de-DE"/>
        </w:rPr>
        <w:t xml:space="preserve"> Bosch</w:t>
      </w:r>
      <w:r w:rsidR="008F1ECD">
        <w:rPr>
          <w:rFonts w:ascii="Cambria" w:hAnsi="Cambria"/>
          <w:kern w:val="1"/>
          <w:sz w:val="24"/>
          <w:szCs w:val="24"/>
        </w:rPr>
        <w:t> en la Universidad Autónoma de Barcelona (UAB), junto con el g</w:t>
      </w:r>
      <w:r w:rsidR="008F1ECD">
        <w:rPr>
          <w:rFonts w:ascii="Cambria" w:hAnsi="Cambria"/>
          <w:kern w:val="1"/>
          <w:sz w:val="24"/>
          <w:szCs w:val="24"/>
          <w:lang w:val="pt-PT"/>
        </w:rPr>
        <w:t>rupo de Raúl Est</w:t>
      </w:r>
      <w:r w:rsidR="00E34EFC">
        <w:rPr>
          <w:rFonts w:ascii="Cambria" w:hAnsi="Cambria"/>
          <w:kern w:val="1"/>
          <w:sz w:val="24"/>
          <w:szCs w:val="24"/>
          <w:lang w:val="pt-PT"/>
        </w:rPr>
        <w:t>é</w:t>
      </w:r>
      <w:r w:rsidR="008F1ECD">
        <w:rPr>
          <w:rFonts w:ascii="Cambria" w:hAnsi="Cambria"/>
          <w:kern w:val="1"/>
          <w:sz w:val="24"/>
          <w:szCs w:val="24"/>
          <w:lang w:val="pt-PT"/>
        </w:rPr>
        <w:t xml:space="preserve">vez del </w:t>
      </w:r>
      <w:r w:rsidR="008F1ECD">
        <w:rPr>
          <w:rFonts w:ascii="Cambria" w:hAnsi="Cambria"/>
          <w:kern w:val="1"/>
          <w:sz w:val="24"/>
          <w:szCs w:val="24"/>
        </w:rPr>
        <w:t>CIBERER en la Universidad de Barcelona (UB) y el Instituto de Investigación Biomédica de Bellvitge (IDIBELL)</w:t>
      </w:r>
      <w:r>
        <w:rPr>
          <w:rFonts w:ascii="Cambria" w:hAnsi="Cambria"/>
          <w:kern w:val="1"/>
          <w:sz w:val="24"/>
          <w:szCs w:val="24"/>
        </w:rPr>
        <w:t>.</w:t>
      </w:r>
      <w:r w:rsidR="008F1ECD">
        <w:rPr>
          <w:rFonts w:ascii="Cambria" w:hAnsi="Cambria"/>
          <w:kern w:val="1"/>
          <w:sz w:val="24"/>
          <w:szCs w:val="24"/>
        </w:rPr>
        <w:t xml:space="preserve"> </w:t>
      </w:r>
      <w:r w:rsidR="008F1ECD">
        <w:rPr>
          <w:rFonts w:ascii="Cambria" w:hAnsi="Cambria"/>
          <w:kern w:val="1"/>
          <w:sz w:val="24"/>
          <w:szCs w:val="24"/>
        </w:rPr>
        <w:lastRenderedPageBreak/>
        <w:t xml:space="preserve">En el desarrollo también han participado investigadores vinculados al Vall d'Hebron Instituto de Investigación (VHIR) y a la Institución Catalana de Investigación y Estudios Avanzados (ICREA). </w:t>
      </w:r>
    </w:p>
    <w:p w14:paraId="4D147F7D" w14:textId="3B4C17E1" w:rsidR="00662BD9" w:rsidRDefault="008F1ECD">
      <w:pPr>
        <w:pStyle w:val="BodyA"/>
        <w:rPr>
          <w:rFonts w:ascii="Cambria" w:eastAsia="Cambria" w:hAnsi="Cambria" w:cs="Cambria"/>
          <w:kern w:val="1"/>
          <w:sz w:val="24"/>
          <w:szCs w:val="24"/>
        </w:rPr>
      </w:pPr>
      <w:r>
        <w:rPr>
          <w:rFonts w:ascii="Cambria" w:hAnsi="Cambria"/>
          <w:kern w:val="1"/>
          <w:sz w:val="24"/>
          <w:szCs w:val="24"/>
        </w:rPr>
        <w:t xml:space="preserve">Hasta el momento, solo existe tratamiento de soporte, pero ninguna terapia curativa para los pacientes afectados por MLC, una enfermedad monogénica caracterizada por </w:t>
      </w:r>
      <w:proofErr w:type="spellStart"/>
      <w:r>
        <w:rPr>
          <w:rFonts w:ascii="Cambria" w:hAnsi="Cambria"/>
          <w:kern w:val="1"/>
          <w:sz w:val="24"/>
          <w:szCs w:val="24"/>
        </w:rPr>
        <w:t>megalencefalia</w:t>
      </w:r>
      <w:proofErr w:type="spellEnd"/>
      <w:r>
        <w:rPr>
          <w:rFonts w:ascii="Cambria" w:hAnsi="Cambria"/>
          <w:kern w:val="1"/>
          <w:sz w:val="24"/>
          <w:szCs w:val="24"/>
        </w:rPr>
        <w:t xml:space="preserve">, pérdida de funciones motoras, epilepsia y retraso mental moderado que </w:t>
      </w:r>
      <w:r w:rsidR="00B75A3D">
        <w:rPr>
          <w:rFonts w:ascii="Cambria" w:hAnsi="Cambria"/>
          <w:kern w:val="1"/>
          <w:sz w:val="24"/>
          <w:szCs w:val="24"/>
        </w:rPr>
        <w:t xml:space="preserve">puede estar </w:t>
      </w:r>
      <w:r>
        <w:rPr>
          <w:rFonts w:ascii="Cambria" w:hAnsi="Cambria"/>
          <w:kern w:val="1"/>
          <w:sz w:val="24"/>
          <w:szCs w:val="24"/>
        </w:rPr>
        <w:t xml:space="preserve">causada por mutaciones en dos genes diferentes. </w:t>
      </w:r>
      <w:r w:rsidR="007D788F">
        <w:rPr>
          <w:rFonts w:ascii="Cambria" w:hAnsi="Cambria"/>
          <w:kern w:val="1"/>
          <w:sz w:val="24"/>
          <w:szCs w:val="24"/>
        </w:rPr>
        <w:t>“</w:t>
      </w:r>
      <w:r>
        <w:rPr>
          <w:rFonts w:ascii="Cambria" w:hAnsi="Cambria"/>
          <w:kern w:val="1"/>
          <w:sz w:val="24"/>
          <w:szCs w:val="24"/>
        </w:rPr>
        <w:t xml:space="preserve">En la mayoría de los casos, la enfermedad es producida por mutaciones en uno de ellos, </w:t>
      </w:r>
      <w:r>
        <w:rPr>
          <w:rFonts w:ascii="Cambria" w:hAnsi="Cambria"/>
          <w:i/>
          <w:iCs/>
          <w:kern w:val="1"/>
          <w:sz w:val="24"/>
          <w:szCs w:val="24"/>
        </w:rPr>
        <w:t>Mlc1</w:t>
      </w:r>
      <w:r w:rsidR="007D788F">
        <w:rPr>
          <w:rFonts w:ascii="Cambria" w:hAnsi="Cambria"/>
          <w:i/>
          <w:iCs/>
          <w:kern w:val="1"/>
          <w:sz w:val="24"/>
          <w:szCs w:val="24"/>
        </w:rPr>
        <w:t>”,</w:t>
      </w:r>
      <w:r>
        <w:rPr>
          <w:rFonts w:ascii="Cambria" w:hAnsi="Cambria"/>
          <w:kern w:val="1"/>
          <w:sz w:val="24"/>
          <w:szCs w:val="24"/>
        </w:rPr>
        <w:t xml:space="preserve"> explica Raúl Estévez, experto en los mecanismos moleculares de la enfermedad</w:t>
      </w:r>
      <w:r w:rsidR="004668A0">
        <w:rPr>
          <w:rFonts w:ascii="Cambria" w:hAnsi="Cambria"/>
          <w:kern w:val="1"/>
          <w:sz w:val="24"/>
          <w:szCs w:val="24"/>
        </w:rPr>
        <w:t xml:space="preserve"> y también miembro del Instituto de Neurociencias de la UB</w:t>
      </w:r>
      <w:r>
        <w:rPr>
          <w:rFonts w:ascii="Cambria" w:hAnsi="Cambria"/>
          <w:kern w:val="1"/>
          <w:sz w:val="24"/>
          <w:szCs w:val="24"/>
        </w:rPr>
        <w:t xml:space="preserve">. </w:t>
      </w:r>
    </w:p>
    <w:p w14:paraId="266BC849"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 xml:space="preserve">En biopsias del cerebro de pacientes con MLC se ha observado la acumulación de agua en forma de vacuolas en la mielina (la capa aislante que se forma alrededor de los nervios) y en los astrocitos (células básicas para el mantenimiento de la función neuronal) que rodean los vasos </w:t>
      </w:r>
      <w:proofErr w:type="spellStart"/>
      <w:r>
        <w:rPr>
          <w:rFonts w:ascii="Cambria" w:hAnsi="Cambria"/>
          <w:kern w:val="1"/>
          <w:sz w:val="24"/>
          <w:szCs w:val="24"/>
        </w:rPr>
        <w:t>sanguí</w:t>
      </w:r>
      <w:proofErr w:type="spellEnd"/>
      <w:r>
        <w:rPr>
          <w:rFonts w:ascii="Cambria" w:hAnsi="Cambria"/>
          <w:kern w:val="1"/>
          <w:sz w:val="24"/>
          <w:szCs w:val="24"/>
          <w:lang w:val="pt-PT"/>
        </w:rPr>
        <w:t xml:space="preserve">neos. </w:t>
      </w:r>
    </w:p>
    <w:p w14:paraId="0FEF6540" w14:textId="7BDD4310" w:rsidR="00662BD9" w:rsidRDefault="008F1ECD">
      <w:pPr>
        <w:pStyle w:val="BodyA"/>
        <w:rPr>
          <w:rFonts w:ascii="Cambria" w:eastAsia="Cambria" w:hAnsi="Cambria" w:cs="Cambria"/>
          <w:kern w:val="1"/>
          <w:sz w:val="24"/>
          <w:szCs w:val="24"/>
        </w:rPr>
      </w:pPr>
      <w:r>
        <w:rPr>
          <w:rFonts w:ascii="Cambria" w:hAnsi="Cambria"/>
          <w:kern w:val="1"/>
          <w:sz w:val="24"/>
          <w:szCs w:val="24"/>
        </w:rPr>
        <w:t xml:space="preserve">Los responsables de este trabajo han sido capaces de mejorar la enfermedad MLC en fase preclínica utilizando como modelo un ratón con el gen </w:t>
      </w:r>
      <w:r>
        <w:rPr>
          <w:rFonts w:ascii="Cambria" w:hAnsi="Cambria"/>
          <w:i/>
          <w:iCs/>
          <w:kern w:val="1"/>
          <w:sz w:val="24"/>
          <w:szCs w:val="24"/>
        </w:rPr>
        <w:t>Mlc1</w:t>
      </w:r>
      <w:r>
        <w:rPr>
          <w:rFonts w:ascii="Cambria" w:hAnsi="Cambria"/>
          <w:kern w:val="1"/>
          <w:sz w:val="24"/>
          <w:szCs w:val="24"/>
          <w:lang w:val="pt-PT"/>
        </w:rPr>
        <w:t xml:space="preserve"> inactivado. Los investigadores han preparado virus adenoasociados que expresan </w:t>
      </w:r>
      <w:r>
        <w:rPr>
          <w:rFonts w:ascii="Cambria" w:hAnsi="Cambria"/>
          <w:i/>
          <w:iCs/>
          <w:kern w:val="1"/>
          <w:sz w:val="24"/>
          <w:szCs w:val="24"/>
        </w:rPr>
        <w:t xml:space="preserve">Mlc1 </w:t>
      </w:r>
      <w:r>
        <w:rPr>
          <w:rFonts w:ascii="Cambria" w:hAnsi="Cambria"/>
          <w:kern w:val="1"/>
          <w:sz w:val="24"/>
          <w:szCs w:val="24"/>
        </w:rPr>
        <w:t xml:space="preserve">e incluyen el promotor de la </w:t>
      </w:r>
      <w:proofErr w:type="spellStart"/>
      <w:r>
        <w:rPr>
          <w:rFonts w:ascii="Cambria" w:hAnsi="Cambria"/>
          <w:kern w:val="1"/>
          <w:sz w:val="24"/>
          <w:szCs w:val="24"/>
        </w:rPr>
        <w:t>proteí</w:t>
      </w:r>
      <w:proofErr w:type="spellEnd"/>
      <w:r>
        <w:rPr>
          <w:rFonts w:ascii="Cambria" w:hAnsi="Cambria"/>
          <w:kern w:val="1"/>
          <w:sz w:val="24"/>
          <w:szCs w:val="24"/>
          <w:lang w:val="pt-PT"/>
        </w:rPr>
        <w:t xml:space="preserve">na GFAP, </w:t>
      </w:r>
      <w:r>
        <w:rPr>
          <w:rFonts w:ascii="Cambria" w:hAnsi="Cambria"/>
          <w:kern w:val="1"/>
          <w:sz w:val="24"/>
          <w:szCs w:val="24"/>
        </w:rPr>
        <w:t xml:space="preserve">que permite la expresión del gen corregido en las células que expresan MLC1. Posteriormente, los han inyectado en el espacio subaracnoideo del cerebelo del modelo de ratón como </w:t>
      </w:r>
      <w:proofErr w:type="spellStart"/>
      <w:r>
        <w:rPr>
          <w:rFonts w:ascii="Cambria" w:hAnsi="Cambria"/>
          <w:kern w:val="1"/>
          <w:sz w:val="24"/>
          <w:szCs w:val="24"/>
        </w:rPr>
        <w:t>ví</w:t>
      </w:r>
      <w:proofErr w:type="spellEnd"/>
      <w:r>
        <w:rPr>
          <w:rFonts w:ascii="Cambria" w:hAnsi="Cambria"/>
          <w:kern w:val="1"/>
          <w:sz w:val="24"/>
          <w:szCs w:val="24"/>
          <w:lang w:val="pt-PT"/>
        </w:rPr>
        <w:t>a de administraci</w:t>
      </w:r>
      <w:proofErr w:type="spellStart"/>
      <w:r>
        <w:rPr>
          <w:rFonts w:ascii="Cambria" w:hAnsi="Cambria"/>
          <w:kern w:val="1"/>
          <w:sz w:val="24"/>
          <w:szCs w:val="24"/>
        </w:rPr>
        <w:t>ón</w:t>
      </w:r>
      <w:proofErr w:type="spellEnd"/>
      <w:r>
        <w:rPr>
          <w:rFonts w:ascii="Cambria" w:hAnsi="Cambria"/>
          <w:kern w:val="1"/>
          <w:sz w:val="24"/>
          <w:szCs w:val="24"/>
        </w:rPr>
        <w:t xml:space="preserve"> efectiva. </w:t>
      </w:r>
    </w:p>
    <w:p w14:paraId="5CC4E03E" w14:textId="12DD16FF" w:rsidR="00662BD9" w:rsidRDefault="008F1ECD">
      <w:pPr>
        <w:pStyle w:val="BodyB"/>
        <w:rPr>
          <w:rFonts w:ascii="Cambria" w:eastAsia="Cambria" w:hAnsi="Cambria" w:cs="Cambria"/>
          <w:kern w:val="2"/>
        </w:rPr>
      </w:pPr>
      <w:r>
        <w:rPr>
          <w:rFonts w:ascii="Cambria" w:hAnsi="Cambria"/>
          <w:kern w:val="2"/>
        </w:rPr>
        <w:t>“Esta investigación es la primera aproximación terapéutica que se ha desarrollado para la MLC y podría tener implicaciones también para el tratamiento de otras enfermedades que afectan a las funciones motoras, como las ataxias”, destaca Assumpció Bosch, experta en terapia génica.</w:t>
      </w:r>
    </w:p>
    <w:p w14:paraId="07DB8411" w14:textId="77777777" w:rsidR="00662BD9" w:rsidRDefault="00662BD9">
      <w:pPr>
        <w:pStyle w:val="BodyB"/>
        <w:rPr>
          <w:rFonts w:ascii="Cambria" w:eastAsia="Cambria" w:hAnsi="Cambria" w:cs="Cambria"/>
          <w:kern w:val="2"/>
        </w:rPr>
      </w:pPr>
    </w:p>
    <w:p w14:paraId="0B6635FA"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Ahora, una vez obtenida la designación, el medicamento deberá continuar con el proceso de investigación clínica para establecer el perfil de seguridad, eficacia y calidad, con el objetivo de conseguir finalmente la autorización de comercialización por parte de las autoridades regulatorias.</w:t>
      </w:r>
    </w:p>
    <w:p w14:paraId="6B317B54" w14:textId="77777777" w:rsidR="00662BD9" w:rsidRDefault="008F1ECD">
      <w:pPr>
        <w:pStyle w:val="BodyA"/>
        <w:rPr>
          <w:rFonts w:ascii="Cambria" w:eastAsia="Cambria" w:hAnsi="Cambria" w:cs="Cambria"/>
          <w:b/>
          <w:bCs/>
          <w:i/>
          <w:iCs/>
          <w:kern w:val="1"/>
          <w:sz w:val="24"/>
          <w:szCs w:val="24"/>
        </w:rPr>
      </w:pPr>
      <w:r>
        <w:rPr>
          <w:rFonts w:ascii="Cambria" w:hAnsi="Cambria"/>
          <w:b/>
          <w:bCs/>
          <w:i/>
          <w:iCs/>
          <w:kern w:val="1"/>
          <w:sz w:val="24"/>
          <w:szCs w:val="24"/>
        </w:rPr>
        <w:t xml:space="preserve">Sobre la </w:t>
      </w:r>
      <w:proofErr w:type="spellStart"/>
      <w:r>
        <w:rPr>
          <w:rFonts w:ascii="Cambria" w:hAnsi="Cambria"/>
          <w:b/>
          <w:bCs/>
          <w:i/>
          <w:iCs/>
          <w:kern w:val="1"/>
          <w:sz w:val="24"/>
          <w:szCs w:val="24"/>
        </w:rPr>
        <w:t>leucodistrofia</w:t>
      </w:r>
      <w:proofErr w:type="spellEnd"/>
      <w:r>
        <w:rPr>
          <w:rFonts w:ascii="Cambria" w:hAnsi="Cambria"/>
          <w:b/>
          <w:bCs/>
          <w:i/>
          <w:iCs/>
          <w:kern w:val="1"/>
          <w:sz w:val="24"/>
          <w:szCs w:val="24"/>
        </w:rPr>
        <w:t xml:space="preserve"> MLC</w:t>
      </w:r>
    </w:p>
    <w:p w14:paraId="6455389B"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 xml:space="preserve">La </w:t>
      </w:r>
      <w:proofErr w:type="spellStart"/>
      <w:r>
        <w:rPr>
          <w:rFonts w:ascii="Cambria" w:hAnsi="Cambria"/>
          <w:kern w:val="1"/>
          <w:sz w:val="24"/>
          <w:szCs w:val="24"/>
        </w:rPr>
        <w:t>leucoencefalopatía</w:t>
      </w:r>
      <w:proofErr w:type="spellEnd"/>
      <w:r>
        <w:rPr>
          <w:rFonts w:ascii="Cambria" w:hAnsi="Cambria"/>
          <w:kern w:val="1"/>
          <w:sz w:val="24"/>
          <w:szCs w:val="24"/>
        </w:rPr>
        <w:t xml:space="preserve"> </w:t>
      </w:r>
      <w:proofErr w:type="spellStart"/>
      <w:r>
        <w:rPr>
          <w:rFonts w:ascii="Cambria" w:hAnsi="Cambria"/>
          <w:kern w:val="1"/>
          <w:sz w:val="24"/>
          <w:szCs w:val="24"/>
        </w:rPr>
        <w:t>megalencefálica</w:t>
      </w:r>
      <w:proofErr w:type="spellEnd"/>
      <w:r>
        <w:rPr>
          <w:rFonts w:ascii="Cambria" w:hAnsi="Cambria"/>
          <w:kern w:val="1"/>
          <w:sz w:val="24"/>
          <w:szCs w:val="24"/>
        </w:rPr>
        <w:t xml:space="preserve"> con quistes subcorticales (MLC) es una forma de </w:t>
      </w:r>
      <w:proofErr w:type="spellStart"/>
      <w:r>
        <w:rPr>
          <w:rFonts w:ascii="Cambria" w:hAnsi="Cambria"/>
          <w:kern w:val="1"/>
          <w:sz w:val="24"/>
          <w:szCs w:val="24"/>
        </w:rPr>
        <w:t>leucodistrofia</w:t>
      </w:r>
      <w:proofErr w:type="spellEnd"/>
      <w:r>
        <w:rPr>
          <w:rFonts w:ascii="Cambria" w:hAnsi="Cambria"/>
          <w:kern w:val="1"/>
          <w:sz w:val="24"/>
          <w:szCs w:val="24"/>
        </w:rPr>
        <w:t xml:space="preserve"> que se caracteriza por una macrocefalia de aparición en la infancia, a menudo con sí</w:t>
      </w:r>
      <w:r>
        <w:rPr>
          <w:rFonts w:ascii="Cambria" w:hAnsi="Cambria"/>
          <w:kern w:val="1"/>
          <w:sz w:val="24"/>
          <w:szCs w:val="24"/>
          <w:lang w:val="pt-PT"/>
        </w:rPr>
        <w:t>ntomas neurol</w:t>
      </w:r>
      <w:proofErr w:type="spellStart"/>
      <w:r>
        <w:rPr>
          <w:rFonts w:ascii="Cambria" w:hAnsi="Cambria"/>
          <w:kern w:val="1"/>
          <w:sz w:val="24"/>
          <w:szCs w:val="24"/>
        </w:rPr>
        <w:t>ógicos</w:t>
      </w:r>
      <w:proofErr w:type="spellEnd"/>
      <w:r>
        <w:rPr>
          <w:rFonts w:ascii="Cambria" w:hAnsi="Cambria"/>
          <w:kern w:val="1"/>
          <w:sz w:val="24"/>
          <w:szCs w:val="24"/>
        </w:rPr>
        <w:t xml:space="preserve"> leves en su presentación (tales como retraso motor leve), que empeoran con el tiempo, conduciendo a trastorno de la marcha, caídas, ataxia, espasticidad, convulsiones de frecuencia e intensidad crecientes y deterioro cognitivo. Las imágenes de resonancia magnética cerebrales </w:t>
      </w:r>
      <w:r>
        <w:rPr>
          <w:rFonts w:ascii="Cambria" w:hAnsi="Cambria"/>
          <w:kern w:val="1"/>
          <w:sz w:val="24"/>
          <w:szCs w:val="24"/>
        </w:rPr>
        <w:lastRenderedPageBreak/>
        <w:t>muestran una afectación difusa y una ligera inflamación de la sustancia blanca, así como quistes subcorticales en las regiones temporal anterior y frontoparietal.</w:t>
      </w:r>
    </w:p>
    <w:p w14:paraId="34696C26"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 xml:space="preserve">La prevalencia de MLC estimada en la población europea es de alrededor de 0,01 por cada 10.000 personas, es decir, se considera una enfermedad </w:t>
      </w:r>
      <w:proofErr w:type="spellStart"/>
      <w:r>
        <w:rPr>
          <w:rFonts w:ascii="Cambria" w:hAnsi="Cambria"/>
          <w:kern w:val="1"/>
          <w:sz w:val="24"/>
          <w:szCs w:val="24"/>
        </w:rPr>
        <w:t>ultrarrara</w:t>
      </w:r>
      <w:proofErr w:type="spellEnd"/>
      <w:r>
        <w:rPr>
          <w:rFonts w:ascii="Cambria" w:hAnsi="Cambria"/>
          <w:kern w:val="1"/>
          <w:sz w:val="24"/>
          <w:szCs w:val="24"/>
        </w:rPr>
        <w:t xml:space="preserve"> (definida como aquella que afecta a menor de 1 de cada 2.000 personas).</w:t>
      </w:r>
    </w:p>
    <w:p w14:paraId="4B66BF7A" w14:textId="77777777" w:rsidR="00662BD9" w:rsidRDefault="00662BD9">
      <w:pPr>
        <w:pStyle w:val="BodyA"/>
        <w:rPr>
          <w:rFonts w:ascii="Cambria" w:eastAsia="Cambria" w:hAnsi="Cambria" w:cs="Cambria"/>
          <w:kern w:val="1"/>
          <w:sz w:val="24"/>
          <w:szCs w:val="24"/>
        </w:rPr>
      </w:pPr>
    </w:p>
    <w:p w14:paraId="3FCC84B6" w14:textId="77777777" w:rsidR="00662BD9" w:rsidRDefault="008F1ECD">
      <w:pPr>
        <w:pStyle w:val="BodyA"/>
        <w:rPr>
          <w:rFonts w:ascii="Cambria" w:eastAsia="Cambria" w:hAnsi="Cambria" w:cs="Cambria"/>
          <w:b/>
          <w:bCs/>
          <w:i/>
          <w:iCs/>
          <w:kern w:val="1"/>
          <w:sz w:val="24"/>
          <w:szCs w:val="24"/>
        </w:rPr>
      </w:pPr>
      <w:r>
        <w:rPr>
          <w:rFonts w:ascii="Cambria" w:hAnsi="Cambria"/>
          <w:b/>
          <w:bCs/>
          <w:i/>
          <w:iCs/>
          <w:kern w:val="1"/>
          <w:sz w:val="24"/>
          <w:szCs w:val="24"/>
        </w:rPr>
        <w:t xml:space="preserve">El CIBERER, promotor de doce medicamentos </w:t>
      </w:r>
      <w:proofErr w:type="spellStart"/>
      <w:r>
        <w:rPr>
          <w:rFonts w:ascii="Cambria" w:hAnsi="Cambria"/>
          <w:b/>
          <w:bCs/>
          <w:i/>
          <w:iCs/>
          <w:kern w:val="1"/>
          <w:sz w:val="24"/>
          <w:szCs w:val="24"/>
        </w:rPr>
        <w:t>hué</w:t>
      </w:r>
      <w:proofErr w:type="spellEnd"/>
      <w:r>
        <w:rPr>
          <w:rFonts w:ascii="Cambria" w:hAnsi="Cambria"/>
          <w:b/>
          <w:bCs/>
          <w:i/>
          <w:iCs/>
          <w:kern w:val="1"/>
          <w:sz w:val="24"/>
          <w:szCs w:val="24"/>
          <w:lang w:val="it-IT"/>
        </w:rPr>
        <w:t>rfanos</w:t>
      </w:r>
    </w:p>
    <w:p w14:paraId="240C0858"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Con esta nueva designación, el CIBERER ha promovido ya </w:t>
      </w:r>
      <w:r>
        <w:rPr>
          <w:rFonts w:ascii="Cambria" w:hAnsi="Cambria"/>
          <w:kern w:val="1"/>
          <w:sz w:val="24"/>
          <w:szCs w:val="24"/>
          <w:lang w:val="pt-PT"/>
        </w:rPr>
        <w:t>doce medicamentos hu</w:t>
      </w:r>
      <w:r>
        <w:rPr>
          <w:rFonts w:ascii="Cambria" w:hAnsi="Cambria"/>
          <w:kern w:val="1"/>
          <w:sz w:val="24"/>
          <w:szCs w:val="24"/>
        </w:rPr>
        <w:t>é</w:t>
      </w:r>
      <w:r>
        <w:rPr>
          <w:rFonts w:ascii="Cambria" w:hAnsi="Cambria"/>
          <w:kern w:val="1"/>
          <w:sz w:val="24"/>
          <w:szCs w:val="24"/>
          <w:lang w:val="it-IT"/>
        </w:rPr>
        <w:t>rfanos</w:t>
      </w:r>
      <w:r>
        <w:rPr>
          <w:rFonts w:ascii="Cambria" w:hAnsi="Cambria"/>
          <w:kern w:val="1"/>
          <w:sz w:val="24"/>
          <w:szCs w:val="24"/>
        </w:rPr>
        <w:t> designados por la EMA, cuatro de los cuales también han sido designados como tales por la agencia americana (FDA).</w:t>
      </w:r>
    </w:p>
    <w:p w14:paraId="7CA8E3B8"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Cinco de estos medicamentos corresponden a terapia génica y los otros siete son reposicionamientos, es decir, fármacos que ya se utilizan para otras patologías que están siendo evaluados para su uso en alguna enfermedad rara.</w:t>
      </w:r>
    </w:p>
    <w:p w14:paraId="7634FC2E" w14:textId="77777777" w:rsidR="00662BD9" w:rsidRDefault="00662BD9">
      <w:pPr>
        <w:pStyle w:val="BodyA"/>
        <w:rPr>
          <w:rFonts w:ascii="Cambria" w:eastAsia="Cambria" w:hAnsi="Cambria" w:cs="Cambria"/>
          <w:kern w:val="1"/>
          <w:sz w:val="24"/>
          <w:szCs w:val="24"/>
        </w:rPr>
      </w:pPr>
    </w:p>
    <w:p w14:paraId="69BB781B" w14:textId="77777777" w:rsidR="00662BD9" w:rsidRDefault="008F1ECD">
      <w:pPr>
        <w:pStyle w:val="BodyA"/>
        <w:rPr>
          <w:rFonts w:ascii="Cambria" w:eastAsia="Cambria" w:hAnsi="Cambria" w:cs="Cambria"/>
          <w:b/>
          <w:bCs/>
          <w:i/>
          <w:iCs/>
          <w:kern w:val="1"/>
          <w:sz w:val="24"/>
          <w:szCs w:val="24"/>
        </w:rPr>
      </w:pPr>
      <w:r>
        <w:rPr>
          <w:rFonts w:ascii="Cambria" w:hAnsi="Cambria"/>
          <w:b/>
          <w:bCs/>
          <w:i/>
          <w:iCs/>
          <w:kern w:val="1"/>
          <w:sz w:val="24"/>
          <w:szCs w:val="24"/>
        </w:rPr>
        <w:t xml:space="preserve">Beneficios de la designación como medicamento </w:t>
      </w:r>
      <w:proofErr w:type="spellStart"/>
      <w:r>
        <w:rPr>
          <w:rFonts w:ascii="Cambria" w:hAnsi="Cambria"/>
          <w:b/>
          <w:bCs/>
          <w:i/>
          <w:iCs/>
          <w:kern w:val="1"/>
          <w:sz w:val="24"/>
          <w:szCs w:val="24"/>
        </w:rPr>
        <w:t>hué</w:t>
      </w:r>
      <w:proofErr w:type="spellEnd"/>
      <w:r>
        <w:rPr>
          <w:rFonts w:ascii="Cambria" w:hAnsi="Cambria"/>
          <w:b/>
          <w:bCs/>
          <w:i/>
          <w:iCs/>
          <w:kern w:val="1"/>
          <w:sz w:val="24"/>
          <w:szCs w:val="24"/>
          <w:lang w:val="it-IT"/>
        </w:rPr>
        <w:t>rfano</w:t>
      </w:r>
    </w:p>
    <w:p w14:paraId="57FB8657" w14:textId="77777777" w:rsidR="00662BD9" w:rsidRDefault="008F1ECD">
      <w:pPr>
        <w:pStyle w:val="BodyA"/>
        <w:rPr>
          <w:rFonts w:ascii="Cambria" w:eastAsia="Cambria" w:hAnsi="Cambria" w:cs="Cambria"/>
          <w:kern w:val="1"/>
          <w:sz w:val="24"/>
          <w:szCs w:val="24"/>
        </w:rPr>
      </w:pPr>
      <w:r>
        <w:rPr>
          <w:rFonts w:ascii="Cambria" w:hAnsi="Cambria"/>
          <w:kern w:val="1"/>
          <w:sz w:val="24"/>
          <w:szCs w:val="24"/>
        </w:rPr>
        <w:t>La designación como medicamento huérfano por parte de la EMA tiene ventajas como la de recibir una autorización de comercialización durante diez años, en los que no pueden comercializarse productos similares. También disponer de protocolos de asistencia y consejo científico gratuitos o con un coste reducido, además de la exención de pagos para la designación. Finalmente, las entidades que desarrollan medicamentos huérfanos tienen acceso a subvenciones específicas de la Unión Europea y de los programas de los estados miembros.</w:t>
      </w:r>
    </w:p>
    <w:p w14:paraId="367907BE" w14:textId="77777777" w:rsidR="007D788F" w:rsidRDefault="007D788F">
      <w:pPr>
        <w:pStyle w:val="BodyA"/>
        <w:spacing w:after="120" w:line="240" w:lineRule="auto"/>
        <w:jc w:val="both"/>
        <w:rPr>
          <w:rStyle w:val="None"/>
          <w:rFonts w:ascii="Cambria" w:eastAsia="Cambria" w:hAnsi="Cambria" w:cs="Cambria"/>
          <w:kern w:val="1"/>
          <w:sz w:val="24"/>
          <w:szCs w:val="24"/>
          <w:u w:val="single"/>
        </w:rPr>
      </w:pPr>
    </w:p>
    <w:p w14:paraId="1972111B" w14:textId="7C657E33" w:rsidR="00662BD9" w:rsidRDefault="007D788F">
      <w:pPr>
        <w:pStyle w:val="BodyA"/>
        <w:spacing w:after="120" w:line="240" w:lineRule="auto"/>
        <w:jc w:val="both"/>
        <w:rPr>
          <w:rFonts w:ascii="Cambria" w:hAnsi="Cambria"/>
          <w:kern w:val="1"/>
          <w:sz w:val="24"/>
          <w:szCs w:val="24"/>
        </w:rPr>
      </w:pPr>
      <w:r w:rsidRPr="007D788F">
        <w:rPr>
          <w:rStyle w:val="None"/>
          <w:rFonts w:ascii="Cambria" w:eastAsia="Cambria" w:hAnsi="Cambria" w:cs="Cambria"/>
          <w:b/>
          <w:bCs/>
          <w:i/>
          <w:iCs/>
          <w:kern w:val="1"/>
          <w:sz w:val="24"/>
          <w:szCs w:val="24"/>
          <w:u w:val="single"/>
        </w:rPr>
        <w:t>Pie de foto</w:t>
      </w:r>
      <w:r w:rsidRPr="007D788F">
        <w:rPr>
          <w:rStyle w:val="None"/>
          <w:rFonts w:ascii="Cambria" w:eastAsia="Cambria" w:hAnsi="Cambria" w:cs="Cambria"/>
          <w:kern w:val="1"/>
          <w:sz w:val="24"/>
          <w:szCs w:val="24"/>
        </w:rPr>
        <w:t xml:space="preserve">: </w:t>
      </w:r>
      <w:r w:rsidR="00A43E3E">
        <w:rPr>
          <w:rStyle w:val="None"/>
          <w:rFonts w:ascii="Cambria" w:eastAsia="Cambria" w:hAnsi="Cambria" w:cs="Cambria"/>
          <w:kern w:val="1"/>
          <w:sz w:val="24"/>
          <w:szCs w:val="24"/>
        </w:rPr>
        <w:t xml:space="preserve">Raúl Estévez y </w:t>
      </w:r>
      <w:r w:rsidR="00A43E3E">
        <w:rPr>
          <w:rFonts w:ascii="Cambria" w:hAnsi="Cambria"/>
          <w:kern w:val="1"/>
          <w:sz w:val="24"/>
          <w:szCs w:val="24"/>
          <w:lang w:val="pt-PT"/>
        </w:rPr>
        <w:t>Assumpci</w:t>
      </w:r>
      <w:proofErr w:type="spellStart"/>
      <w:r w:rsidR="00A43E3E">
        <w:rPr>
          <w:rFonts w:ascii="Cambria" w:hAnsi="Cambria"/>
          <w:kern w:val="1"/>
          <w:sz w:val="24"/>
          <w:szCs w:val="24"/>
        </w:rPr>
        <w:t>ó</w:t>
      </w:r>
      <w:proofErr w:type="spellEnd"/>
      <w:r w:rsidR="00A43E3E">
        <w:rPr>
          <w:rFonts w:ascii="Cambria" w:hAnsi="Cambria"/>
          <w:kern w:val="1"/>
          <w:sz w:val="24"/>
          <w:szCs w:val="24"/>
          <w:lang w:val="de-DE"/>
        </w:rPr>
        <w:t xml:space="preserve"> Bosch</w:t>
      </w:r>
      <w:r w:rsidR="00A43E3E">
        <w:rPr>
          <w:rFonts w:ascii="Cambria" w:hAnsi="Cambria"/>
          <w:kern w:val="1"/>
          <w:sz w:val="24"/>
          <w:szCs w:val="24"/>
        </w:rPr>
        <w:t>.</w:t>
      </w:r>
    </w:p>
    <w:p w14:paraId="5CA7737F" w14:textId="1F06AA7A" w:rsidR="0035207F" w:rsidRDefault="0035207F">
      <w:pPr>
        <w:pStyle w:val="BodyA"/>
        <w:spacing w:after="120" w:line="240" w:lineRule="auto"/>
        <w:jc w:val="both"/>
        <w:rPr>
          <w:rFonts w:ascii="Cambria" w:hAnsi="Cambria"/>
          <w:kern w:val="1"/>
          <w:sz w:val="24"/>
          <w:szCs w:val="24"/>
        </w:rPr>
      </w:pPr>
    </w:p>
    <w:p w14:paraId="2ED610FA" w14:textId="77777777" w:rsidR="0035207F" w:rsidRPr="00D34A01" w:rsidRDefault="0035207F" w:rsidP="0035207F">
      <w:pPr>
        <w:spacing w:line="288" w:lineRule="auto"/>
        <w:rPr>
          <w:rFonts w:ascii="Cambria" w:hAnsi="Cambria"/>
          <w:b/>
          <w:i/>
          <w:color w:val="000000" w:themeColor="text1"/>
          <w:kern w:val="1"/>
          <w:lang w:val="es-ES_tradnl"/>
        </w:rPr>
      </w:pPr>
      <w:r w:rsidRPr="00D34A01">
        <w:rPr>
          <w:rFonts w:ascii="Cambria" w:hAnsi="Cambria"/>
          <w:b/>
          <w:i/>
          <w:color w:val="000000" w:themeColor="text1"/>
          <w:kern w:val="1"/>
          <w:lang w:val="es-ES_tradnl"/>
        </w:rPr>
        <w:t>Sobre CIBERER</w:t>
      </w:r>
    </w:p>
    <w:p w14:paraId="7BFCCD7A" w14:textId="77777777" w:rsidR="0035207F" w:rsidRDefault="0035207F" w:rsidP="0035207F">
      <w:pPr>
        <w:spacing w:line="288" w:lineRule="auto"/>
        <w:rPr>
          <w:rFonts w:ascii="Cambria" w:hAnsi="Cambria"/>
          <w:bCs/>
          <w:color w:val="000000" w:themeColor="text1"/>
          <w:kern w:val="1"/>
          <w:lang w:val="es-ES_tradnl"/>
        </w:rPr>
      </w:pPr>
    </w:p>
    <w:p w14:paraId="5DC6CDE7" w14:textId="57DAB273" w:rsidR="0035207F" w:rsidRPr="0035207F" w:rsidRDefault="0035207F" w:rsidP="0035207F">
      <w:pPr>
        <w:spacing w:line="288" w:lineRule="auto"/>
        <w:rPr>
          <w:rStyle w:val="None"/>
          <w:rFonts w:ascii="Cambria" w:hAnsi="Cambria"/>
          <w:bCs/>
          <w:color w:val="000000" w:themeColor="text1"/>
          <w:kern w:val="1"/>
          <w:u w:val="single"/>
          <w:lang w:val="es-ES_tradnl"/>
        </w:rPr>
      </w:pPr>
      <w:r w:rsidRPr="00D34A01">
        <w:rPr>
          <w:rFonts w:ascii="Cambria" w:hAnsi="Cambria"/>
          <w:bCs/>
          <w:color w:val="000000" w:themeColor="text1"/>
          <w:kern w:val="1"/>
          <w:lang w:val="es-ES_tradnl"/>
        </w:rPr>
        <w:t>El Centro de Investigación Biomédica en Red (CIBER) es un consorcio dependiente del Instituto de Salud Carlos III (Ministerio de Ciencia</w:t>
      </w:r>
      <w:r>
        <w:rPr>
          <w:rFonts w:ascii="Cambria" w:hAnsi="Cambria"/>
          <w:bCs/>
          <w:color w:val="000000" w:themeColor="text1"/>
          <w:kern w:val="1"/>
          <w:lang w:val="es-ES_tradnl"/>
        </w:rPr>
        <w:t xml:space="preserve"> e</w:t>
      </w:r>
      <w:r w:rsidRPr="00D34A01">
        <w:rPr>
          <w:rFonts w:ascii="Cambria" w:hAnsi="Cambria"/>
          <w:bCs/>
          <w:color w:val="000000" w:themeColor="text1"/>
          <w:kern w:val="1"/>
          <w:lang w:val="es-ES_tradnl"/>
        </w:rPr>
        <w:t xml:space="preserve"> Innovación)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w:t>
      </w:r>
      <w:r w:rsidRPr="00D34A01">
        <w:rPr>
          <w:rFonts w:ascii="Cambria" w:hAnsi="Cambria"/>
          <w:bCs/>
          <w:color w:val="000000" w:themeColor="text1"/>
          <w:kern w:val="1"/>
          <w:lang w:val="es-ES_tradnl"/>
        </w:rPr>
        <w:lastRenderedPageBreak/>
        <w:t xml:space="preserve">paciente, y dé </w:t>
      </w:r>
      <w:r w:rsidRPr="00D34A01">
        <w:rPr>
          <w:rFonts w:ascii="Cambria" w:hAnsi="Cambria"/>
          <w:bCs/>
          <w:kern w:val="1"/>
          <w:lang w:val="es-ES_tradnl"/>
        </w:rPr>
        <w:t xml:space="preserve">respuestas científicas a las preguntas nacidas de la interacción entre médicos y pacientes. El CIBERER se compone de un equipo humano de más de 700 profesionales e integra a </w:t>
      </w:r>
      <w:r>
        <w:rPr>
          <w:rFonts w:ascii="Cambria" w:hAnsi="Cambria"/>
          <w:bCs/>
          <w:color w:val="000000" w:themeColor="text1"/>
          <w:kern w:val="1"/>
          <w:lang w:val="es-ES_tradnl"/>
        </w:rPr>
        <w:t>57</w:t>
      </w:r>
      <w:r w:rsidRPr="00D34A01">
        <w:rPr>
          <w:rFonts w:ascii="Cambria" w:hAnsi="Cambria"/>
          <w:bCs/>
          <w:color w:val="000000" w:themeColor="text1"/>
          <w:kern w:val="1"/>
          <w:lang w:val="es-ES_tradnl"/>
        </w:rPr>
        <w:t xml:space="preserve"> grupos de investigación. Además, cuenta con </w:t>
      </w:r>
      <w:r>
        <w:rPr>
          <w:rFonts w:ascii="Cambria" w:hAnsi="Cambria"/>
          <w:bCs/>
          <w:color w:val="000000" w:themeColor="text1"/>
          <w:kern w:val="1"/>
          <w:lang w:val="es-ES_tradnl"/>
        </w:rPr>
        <w:t xml:space="preserve">18 </w:t>
      </w:r>
      <w:r w:rsidRPr="00D34A01">
        <w:rPr>
          <w:rFonts w:ascii="Cambria" w:hAnsi="Cambria"/>
          <w:bCs/>
          <w:color w:val="000000" w:themeColor="text1"/>
          <w:kern w:val="1"/>
          <w:lang w:val="es-ES_tradnl"/>
        </w:rPr>
        <w:t xml:space="preserve">grupos clínicos vinculados. </w:t>
      </w:r>
      <w:hyperlink r:id="rId7" w:history="1">
        <w:r w:rsidRPr="00D34A01">
          <w:rPr>
            <w:rStyle w:val="Hipervnculo"/>
            <w:rFonts w:ascii="Cambria" w:hAnsi="Cambria"/>
            <w:bCs/>
            <w:color w:val="000000" w:themeColor="text1"/>
            <w:kern w:val="1"/>
            <w:lang w:val="es-ES_tradnl"/>
          </w:rPr>
          <w:t>www.ciberer.es</w:t>
        </w:r>
      </w:hyperlink>
    </w:p>
    <w:p w14:paraId="32B3E5F8" w14:textId="77777777" w:rsidR="007D788F" w:rsidRDefault="007D788F">
      <w:pPr>
        <w:pStyle w:val="BodyA"/>
        <w:spacing w:after="120" w:line="240" w:lineRule="auto"/>
        <w:jc w:val="both"/>
        <w:rPr>
          <w:rStyle w:val="None"/>
          <w:rFonts w:ascii="Cambria" w:eastAsia="Cambria" w:hAnsi="Cambria" w:cs="Cambria"/>
          <w:kern w:val="1"/>
          <w:sz w:val="24"/>
          <w:szCs w:val="24"/>
          <w:u w:val="single"/>
        </w:rPr>
      </w:pPr>
    </w:p>
    <w:p w14:paraId="06832BC8" w14:textId="77777777" w:rsidR="0035207F" w:rsidRDefault="0035207F">
      <w:pPr>
        <w:pStyle w:val="BodyA"/>
        <w:spacing w:after="120" w:line="240" w:lineRule="auto"/>
        <w:jc w:val="both"/>
        <w:rPr>
          <w:rStyle w:val="None"/>
          <w:rFonts w:ascii="Cambria" w:hAnsi="Cambria"/>
          <w:b/>
          <w:bCs/>
          <w:kern w:val="1"/>
          <w:sz w:val="24"/>
          <w:szCs w:val="24"/>
        </w:rPr>
      </w:pPr>
    </w:p>
    <w:sectPr w:rsidR="0035207F" w:rsidSect="00220CC7">
      <w:headerReference w:type="default" r:id="rId8"/>
      <w:pgSz w:w="11900" w:h="16840"/>
      <w:pgMar w:top="1985"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B927" w14:textId="77777777" w:rsidR="00817AD2" w:rsidRDefault="00817AD2">
      <w:r>
        <w:separator/>
      </w:r>
    </w:p>
  </w:endnote>
  <w:endnote w:type="continuationSeparator" w:id="0">
    <w:p w14:paraId="0F6D9232" w14:textId="77777777" w:rsidR="00817AD2" w:rsidRDefault="008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5642" w14:textId="77777777" w:rsidR="00817AD2" w:rsidRDefault="00817AD2">
      <w:r>
        <w:separator/>
      </w:r>
    </w:p>
  </w:footnote>
  <w:footnote w:type="continuationSeparator" w:id="0">
    <w:p w14:paraId="06D474BE" w14:textId="77777777" w:rsidR="00817AD2" w:rsidRDefault="0081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FD9" w14:textId="2A85E4CB" w:rsidR="00662BD9" w:rsidRDefault="005F372D">
    <w:pPr>
      <w:pStyle w:val="Encabezado"/>
      <w:tabs>
        <w:tab w:val="clear" w:pos="8504"/>
        <w:tab w:val="right" w:pos="8478"/>
      </w:tabs>
      <w:jc w:val="right"/>
    </w:pPr>
    <w:r>
      <w:rPr>
        <w:noProof/>
      </w:rPr>
      <w:drawing>
        <wp:anchor distT="0" distB="0" distL="114300" distR="114300" simplePos="0" relativeHeight="251659264" behindDoc="0" locked="0" layoutInCell="1" allowOverlap="1" wp14:anchorId="49EA9278" wp14:editId="4C67E644">
          <wp:simplePos x="0" y="0"/>
          <wp:positionH relativeFrom="column">
            <wp:posOffset>952131</wp:posOffset>
          </wp:positionH>
          <wp:positionV relativeFrom="paragraph">
            <wp:posOffset>-8890</wp:posOffset>
          </wp:positionV>
          <wp:extent cx="1440000" cy="514800"/>
          <wp:effectExtent l="0" t="0" r="0" b="635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51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1312" behindDoc="0" locked="0" layoutInCell="1" allowOverlap="1" wp14:anchorId="0FD0FBA6" wp14:editId="7D01F6FA">
          <wp:simplePos x="0" y="0"/>
          <wp:positionH relativeFrom="column">
            <wp:posOffset>3265524</wp:posOffset>
          </wp:positionH>
          <wp:positionV relativeFrom="paragraph">
            <wp:posOffset>0</wp:posOffset>
          </wp:positionV>
          <wp:extent cx="1688465" cy="447675"/>
          <wp:effectExtent l="0" t="0" r="6985" b="9525"/>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2336" behindDoc="0" locked="0" layoutInCell="1" allowOverlap="1" wp14:anchorId="77D919B4" wp14:editId="32510200">
          <wp:simplePos x="0" y="0"/>
          <wp:positionH relativeFrom="column">
            <wp:posOffset>5064819</wp:posOffset>
          </wp:positionH>
          <wp:positionV relativeFrom="paragraph">
            <wp:posOffset>163</wp:posOffset>
          </wp:positionV>
          <wp:extent cx="622800" cy="504000"/>
          <wp:effectExtent l="0" t="0" r="0" b="4445"/>
          <wp:wrapNone/>
          <wp:docPr id="1073741826" name="officeArt object" descr="Imagen 6"/>
          <wp:cNvGraphicFramePr/>
          <a:graphic xmlns:a="http://schemas.openxmlformats.org/drawingml/2006/main">
            <a:graphicData uri="http://schemas.openxmlformats.org/drawingml/2006/picture">
              <pic:pic xmlns:pic="http://schemas.openxmlformats.org/drawingml/2006/picture">
                <pic:nvPicPr>
                  <pic:cNvPr id="1073741826" name="Imagen 6" descr="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22800" cy="504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152400" distB="152400" distL="152400" distR="152400" simplePos="0" relativeHeight="251658240" behindDoc="0" locked="0" layoutInCell="1" allowOverlap="1" wp14:anchorId="63C82113" wp14:editId="149CD914">
          <wp:simplePos x="0" y="0"/>
          <wp:positionH relativeFrom="page">
            <wp:posOffset>722630</wp:posOffset>
          </wp:positionH>
          <wp:positionV relativeFrom="page">
            <wp:posOffset>372110</wp:posOffset>
          </wp:positionV>
          <wp:extent cx="1159200" cy="633600"/>
          <wp:effectExtent l="0" t="0" r="0" b="1905"/>
          <wp:wrapNone/>
          <wp:docPr id="1073741827" name="officeArt object" descr="Imagen 1"/>
          <wp:cNvGraphicFramePr/>
          <a:graphic xmlns:a="http://schemas.openxmlformats.org/drawingml/2006/main">
            <a:graphicData uri="http://schemas.openxmlformats.org/drawingml/2006/picture">
              <pic:pic xmlns:pic="http://schemas.openxmlformats.org/drawingml/2006/picture">
                <pic:nvPicPr>
                  <pic:cNvPr id="1073741827" name="Imagen 1" descr="Imagen 1"/>
                  <pic:cNvPicPr>
                    <a:picLocks noChangeAspect="1"/>
                  </pic:cNvPicPr>
                </pic:nvPicPr>
                <pic:blipFill>
                  <a:blip r:embed="rId4"/>
                  <a:stretch>
                    <a:fillRect/>
                  </a:stretch>
                </pic:blipFill>
                <pic:spPr>
                  <a:xfrm>
                    <a:off x="0" y="0"/>
                    <a:ext cx="1159200" cy="633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F1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3BF"/>
    <w:multiLevelType w:val="hybridMultilevel"/>
    <w:tmpl w:val="5A3AF68A"/>
    <w:numStyleLink w:val="ImportedStyle1"/>
  </w:abstractNum>
  <w:abstractNum w:abstractNumId="1" w15:restartNumberingAfterBreak="0">
    <w:nsid w:val="634F2C3F"/>
    <w:multiLevelType w:val="hybridMultilevel"/>
    <w:tmpl w:val="5A3AF68A"/>
    <w:styleLink w:val="ImportedStyle1"/>
    <w:lvl w:ilvl="0" w:tplc="BC36E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A5D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68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10C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8E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0E6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1A0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328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6B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D9"/>
    <w:rsid w:val="00156C42"/>
    <w:rsid w:val="00220CC7"/>
    <w:rsid w:val="002E4E92"/>
    <w:rsid w:val="002E6C07"/>
    <w:rsid w:val="00335E62"/>
    <w:rsid w:val="0035207F"/>
    <w:rsid w:val="004668A0"/>
    <w:rsid w:val="005A3F2D"/>
    <w:rsid w:val="005F372D"/>
    <w:rsid w:val="00662BD9"/>
    <w:rsid w:val="00676D99"/>
    <w:rsid w:val="006A1287"/>
    <w:rsid w:val="007D788F"/>
    <w:rsid w:val="007E32DA"/>
    <w:rsid w:val="007F2564"/>
    <w:rsid w:val="0081736E"/>
    <w:rsid w:val="00817AD2"/>
    <w:rsid w:val="0089085B"/>
    <w:rsid w:val="008F1ECD"/>
    <w:rsid w:val="009A015C"/>
    <w:rsid w:val="00A43E3E"/>
    <w:rsid w:val="00AA06D2"/>
    <w:rsid w:val="00B75A3D"/>
    <w:rsid w:val="00BE1B86"/>
    <w:rsid w:val="00C95EF5"/>
    <w:rsid w:val="00CE031D"/>
    <w:rsid w:val="00CF66A3"/>
    <w:rsid w:val="00D419E5"/>
    <w:rsid w:val="00D65F5B"/>
    <w:rsid w:val="00E34EFC"/>
    <w:rsid w:val="00ED6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D5EF"/>
  <w15:docId w15:val="{CE45D712-2288-4DC2-A2D5-967D969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hAnsi="Calibri" w:cs="Arial Unicode MS"/>
      <w:color w:val="000000"/>
      <w:sz w:val="22"/>
      <w:szCs w:val="22"/>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00"/>
      <w:kern w:val="1"/>
      <w:sz w:val="24"/>
      <w:szCs w:val="24"/>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173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7F2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564"/>
    <w:rPr>
      <w:rFonts w:ascii="Segoe UI" w:hAnsi="Segoe UI" w:cs="Segoe UI"/>
      <w:sz w:val="18"/>
      <w:szCs w:val="18"/>
      <w:lang w:val="en-US" w:eastAsia="en-US"/>
    </w:rPr>
  </w:style>
  <w:style w:type="paragraph" w:styleId="Piedepgina">
    <w:name w:val="footer"/>
    <w:basedOn w:val="Normal"/>
    <w:link w:val="PiedepginaCar"/>
    <w:uiPriority w:val="99"/>
    <w:unhideWhenUsed/>
    <w:rsid w:val="00335E62"/>
    <w:pPr>
      <w:tabs>
        <w:tab w:val="center" w:pos="4419"/>
        <w:tab w:val="right" w:pos="8838"/>
      </w:tabs>
    </w:pPr>
  </w:style>
  <w:style w:type="character" w:customStyle="1" w:styleId="PiedepginaCar">
    <w:name w:val="Pie de página Car"/>
    <w:basedOn w:val="Fuentedeprrafopredeter"/>
    <w:link w:val="Piedepgina"/>
    <w:uiPriority w:val="99"/>
    <w:rsid w:val="00335E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bere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Delgado Chamorro</dc:creator>
  <cp:lastModifiedBy>Navarro, Begoña [Ciberisciii]</cp:lastModifiedBy>
  <cp:revision>2</cp:revision>
  <dcterms:created xsi:type="dcterms:W3CDTF">2021-11-19T09:39:00Z</dcterms:created>
  <dcterms:modified xsi:type="dcterms:W3CDTF">2021-11-19T09:39:00Z</dcterms:modified>
</cp:coreProperties>
</file>