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45" w:rsidRPr="00DF679C" w:rsidRDefault="00DF679C" w:rsidP="00272284">
      <w:pPr>
        <w:jc w:val="both"/>
        <w:rPr>
          <w:b/>
          <w:sz w:val="36"/>
        </w:rPr>
      </w:pPr>
      <w:r w:rsidRPr="00DF679C">
        <w:rPr>
          <w:b/>
          <w:sz w:val="36"/>
        </w:rPr>
        <w:t>Ganadores Comunicación Oral y Pó</w:t>
      </w:r>
      <w:r w:rsidR="00790BB5" w:rsidRPr="00DF679C">
        <w:rPr>
          <w:b/>
          <w:sz w:val="36"/>
        </w:rPr>
        <w:t>ster AEEH 2018</w:t>
      </w:r>
    </w:p>
    <w:p w:rsidR="00790BB5" w:rsidRPr="00DF679C" w:rsidRDefault="00DF679C" w:rsidP="00272284">
      <w:pPr>
        <w:pStyle w:val="Prrafodelista"/>
        <w:numPr>
          <w:ilvl w:val="0"/>
          <w:numId w:val="1"/>
        </w:numPr>
        <w:tabs>
          <w:tab w:val="left" w:pos="10206"/>
        </w:tabs>
        <w:ind w:left="426"/>
        <w:jc w:val="both"/>
        <w:rPr>
          <w:sz w:val="28"/>
          <w:u w:val="single"/>
        </w:rPr>
      </w:pPr>
      <w:r w:rsidRPr="00DF679C">
        <w:rPr>
          <w:sz w:val="28"/>
          <w:u w:val="single"/>
        </w:rPr>
        <w:t>Mejor Comunicación Oral Clínica</w:t>
      </w:r>
    </w:p>
    <w:p w:rsidR="00EC266F" w:rsidRDefault="00EC266F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262626"/>
          <w:sz w:val="20"/>
          <w:szCs w:val="20"/>
        </w:rPr>
      </w:pPr>
      <w:r>
        <w:rPr>
          <w:rFonts w:ascii="Candara-Bold" w:hAnsi="Candara-Bold" w:cs="Candara-Bold"/>
          <w:b/>
          <w:bCs/>
          <w:color w:val="262626"/>
          <w:sz w:val="20"/>
          <w:szCs w:val="20"/>
        </w:rPr>
        <w:t>IMPACTO A LARGO PLAZO DE LA CURACIÓN DEL VHC CON REGÍMENES</w:t>
      </w:r>
      <w:r w:rsidR="00DF679C">
        <w:rPr>
          <w:rFonts w:ascii="Candara-Bold" w:hAnsi="Candara-Bold" w:cs="Candara-Bold"/>
          <w:b/>
          <w:bCs/>
          <w:color w:val="262626"/>
          <w:sz w:val="20"/>
          <w:szCs w:val="20"/>
        </w:rPr>
        <w:t xml:space="preserve"> </w:t>
      </w:r>
      <w:r>
        <w:rPr>
          <w:rFonts w:ascii="Candara-Bold" w:hAnsi="Candara-Bold" w:cs="Candara-Bold"/>
          <w:b/>
          <w:bCs/>
          <w:color w:val="262626"/>
          <w:sz w:val="20"/>
          <w:szCs w:val="20"/>
        </w:rPr>
        <w:t>ORALES EN PACIENTES CON HIPERTENSIÓN PORTAL CLÍNICAMENTESIGNIFICATIVA</w:t>
      </w:r>
    </w:p>
    <w:p w:rsidR="00EC266F" w:rsidRPr="001D6BC7" w:rsidRDefault="00EC266F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sz w:val="20"/>
          <w:szCs w:val="20"/>
        </w:rPr>
      </w:pPr>
      <w:r w:rsidRPr="001D6BC7">
        <w:rPr>
          <w:rFonts w:ascii="Candara-Italic" w:hAnsi="Candara-Italic" w:cs="Candara-Italic"/>
          <w:b/>
          <w:i/>
          <w:iCs/>
          <w:szCs w:val="20"/>
        </w:rPr>
        <w:t>Sabela Lens</w:t>
      </w:r>
      <w:r w:rsidRPr="001D6BC7">
        <w:rPr>
          <w:rFonts w:ascii="Candara-Italic" w:hAnsi="Candara-Italic" w:cs="Candara-Italic"/>
          <w:i/>
          <w:iCs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(1) | Edilmar Alvarado-Tapias (2) |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Zoe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Mariño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(1) | Javier Martínez (3) |María-Carlota Londoño (1) | Elba Llop (4) | Jose Ignacio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Fortea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(5) | Luis Ibáñez (5)| Rafael Bañares (6) | Ángela Puente (5) | Agustín Albillos (3) | Jose Luís Calleja (4)</w:t>
      </w:r>
    </w:p>
    <w:p w:rsidR="001D6BC7" w:rsidRDefault="00EC266F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sz w:val="20"/>
          <w:szCs w:val="20"/>
        </w:rPr>
      </w:pP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| Xavier Torras (2) | Anna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Baiges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(1) | Virginia Hernández-Gea (1) | Jaume Bosch (1)| Cándido Villanueva (2) | Xavier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Forns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(1) | Juan Carlos García-Pagán (1).</w:t>
      </w:r>
    </w:p>
    <w:p w:rsidR="001D6BC7" w:rsidRDefault="003A6BF7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color w:val="262626"/>
          <w:sz w:val="20"/>
          <w:szCs w:val="20"/>
        </w:rPr>
      </w:pPr>
      <w:r>
        <w:rPr>
          <w:rFonts w:ascii="Candara-Italic" w:hAnsi="Candara-Italic" w:cs="Candara-Italic"/>
          <w:i/>
          <w:iCs/>
          <w:noProof/>
          <w:color w:val="262626"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15pt;margin-top:6.4pt;width:523.5pt;height:0;z-index:251658240" o:connectortype="straight" strokeweight="1pt"/>
        </w:pict>
      </w:r>
    </w:p>
    <w:p w:rsidR="00EC266F" w:rsidRDefault="00EC266F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color w:val="262626"/>
          <w:sz w:val="20"/>
          <w:szCs w:val="20"/>
        </w:rPr>
      </w:pP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1- Servicio Hepatología, Hospital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Clínic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Barcelona. IDIBAPS.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. Universidad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de Barcelona. | 2- Servicio de 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g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astroenterología, Hospital Santa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Creu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I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Sant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Pau,</w:t>
      </w:r>
      <w:r w:rsidR="001373DA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Barcelona. CIBEREHD | 3- Gastroenterología y Hepatología, Hospital Ramon y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Cajal. Universidad de Alcalá. Madrid. CIBEREHD | 4- Servicio Hepatología,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Hospital Universitario Puerta de Hierro, </w:t>
      </w:r>
      <w:proofErr w:type="spellStart"/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M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ajadahonda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, Madrid. | 5- Servicio de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Enfermedades Digestivas, Marqués de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Valdecilla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University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Hospital. IDIVAL.</w:t>
      </w:r>
    </w:p>
    <w:p w:rsidR="00EC266F" w:rsidRDefault="00EC266F" w:rsidP="0027228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Santander. Spain | 6- Servicio Hepatología, Hospital Gregorio Marañón. Madrid.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.</w:t>
      </w:r>
    </w:p>
    <w:p w:rsidR="00EC266F" w:rsidRDefault="00EC266F" w:rsidP="00272284">
      <w:pPr>
        <w:jc w:val="both"/>
      </w:pPr>
    </w:p>
    <w:p w:rsidR="00790BB5" w:rsidRPr="00272284" w:rsidRDefault="00272284" w:rsidP="00272284">
      <w:pPr>
        <w:pStyle w:val="Prrafodelista"/>
        <w:numPr>
          <w:ilvl w:val="0"/>
          <w:numId w:val="1"/>
        </w:numPr>
        <w:tabs>
          <w:tab w:val="left" w:pos="10206"/>
        </w:tabs>
        <w:ind w:left="426"/>
        <w:jc w:val="both"/>
        <w:rPr>
          <w:sz w:val="28"/>
          <w:u w:val="single"/>
        </w:rPr>
      </w:pPr>
      <w:r>
        <w:rPr>
          <w:sz w:val="28"/>
          <w:u w:val="single"/>
        </w:rPr>
        <w:t>Mejor Comunicación oral B</w:t>
      </w:r>
      <w:r w:rsidR="00790BB5" w:rsidRPr="00272284">
        <w:rPr>
          <w:sz w:val="28"/>
          <w:u w:val="single"/>
        </w:rPr>
        <w:t xml:space="preserve">ásica </w:t>
      </w:r>
    </w:p>
    <w:p w:rsidR="00EC266F" w:rsidRDefault="00EC266F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262626"/>
          <w:sz w:val="20"/>
          <w:szCs w:val="20"/>
        </w:rPr>
      </w:pPr>
      <w:r>
        <w:rPr>
          <w:rFonts w:ascii="Candara-Bold" w:hAnsi="Candara-Bold" w:cs="Candara-Bold"/>
          <w:b/>
          <w:bCs/>
          <w:color w:val="262626"/>
          <w:sz w:val="20"/>
          <w:szCs w:val="20"/>
        </w:rPr>
        <w:t>CÉLULAS MADRE COMO NUEVA OPCIÓN TERAPÉUTICA PARA LA</w:t>
      </w:r>
      <w:r w:rsidR="00272284">
        <w:rPr>
          <w:rFonts w:ascii="Candara-Bold" w:hAnsi="Candara-Bold" w:cs="Candara-Bold"/>
          <w:b/>
          <w:bCs/>
          <w:color w:val="262626"/>
          <w:sz w:val="20"/>
          <w:szCs w:val="20"/>
        </w:rPr>
        <w:t xml:space="preserve"> </w:t>
      </w:r>
      <w:r>
        <w:rPr>
          <w:rFonts w:ascii="Candara-Bold" w:hAnsi="Candara-Bold" w:cs="Candara-Bold"/>
          <w:b/>
          <w:bCs/>
          <w:color w:val="262626"/>
          <w:sz w:val="20"/>
          <w:szCs w:val="20"/>
        </w:rPr>
        <w:t>HIPERTENSIÓN PORTAL Y LA CIRROSIS</w:t>
      </w:r>
    </w:p>
    <w:p w:rsidR="00EC266F" w:rsidRPr="001D6BC7" w:rsidRDefault="00EC266F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sz w:val="20"/>
          <w:szCs w:val="20"/>
        </w:rPr>
      </w:pPr>
      <w:r w:rsidRPr="001D6BC7">
        <w:rPr>
          <w:rFonts w:ascii="Candara-Italic" w:hAnsi="Candara-Italic" w:cs="Candara-Italic"/>
          <w:b/>
          <w:i/>
          <w:iCs/>
          <w:szCs w:val="20"/>
        </w:rPr>
        <w:t>Anabel Fernández-Iglesias</w:t>
      </w:r>
      <w:r w:rsidRPr="001D6BC7">
        <w:rPr>
          <w:rFonts w:ascii="Candara-Italic" w:hAnsi="Candara-Italic" w:cs="Candara-Italic"/>
          <w:i/>
          <w:iCs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(1, 2) |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Giada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Pietrosi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(3) |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Mariangela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Pampalone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(4)|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Ornella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Parolini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(5) | Giovanni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Vizzini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(3) |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Pier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Giulio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Conaldi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(3) |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Angelo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Luca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>(3) | Jaume Bosch (1, 2) | Jordi Gracia-Sancho (1, 2).</w:t>
      </w:r>
    </w:p>
    <w:p w:rsidR="001D6BC7" w:rsidRDefault="003A6BF7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color w:val="262626"/>
          <w:sz w:val="20"/>
          <w:szCs w:val="20"/>
        </w:rPr>
      </w:pPr>
      <w:r>
        <w:rPr>
          <w:rFonts w:ascii="Candara-Italic" w:hAnsi="Candara-Italic" w:cs="Candara-Italic"/>
          <w:i/>
          <w:iCs/>
          <w:noProof/>
          <w:color w:val="262626"/>
          <w:sz w:val="20"/>
          <w:szCs w:val="20"/>
          <w:lang w:eastAsia="es-ES"/>
        </w:rPr>
        <w:pict>
          <v:shape id="_x0000_s1028" type="#_x0000_t32" style="position:absolute;left:0;text-align:left;margin-left:1.15pt;margin-top:7.15pt;width:523.5pt;height:0;z-index:251659264" o:connectortype="straight" strokeweight="1pt"/>
        </w:pict>
      </w:r>
    </w:p>
    <w:p w:rsidR="00EC266F" w:rsidRDefault="00EC266F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color w:val="262626"/>
          <w:sz w:val="20"/>
          <w:szCs w:val="20"/>
        </w:rPr>
      </w:pPr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1-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Liver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Vascular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Biology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Research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Group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- Barcelona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Hepatic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HemodynamicLab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- IDIBAPS | 2- CIBEREHD | 3-Mediterranean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Institute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for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Transplantation</w:t>
      </w:r>
      <w:proofErr w:type="spellEnd"/>
      <w:r w:rsidR="00272284"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and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Advanced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Specialized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Therapies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, IRCCS-ISMETT, Palermo, Italia | 4- Ri.MED</w:t>
      </w:r>
      <w:r w:rsidR="00272284"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Foundation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IRCCS-ISMETT, Palermo, Italia | 5- Centro di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Ricerca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“E.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Menni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”,</w:t>
      </w:r>
      <w:r w:rsidR="00272284"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Fondazione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Poliambulanza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-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Istituto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Ospedaliero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, Brescia, Italia.</w:t>
      </w:r>
    </w:p>
    <w:p w:rsidR="00272284" w:rsidRDefault="00272284" w:rsidP="00272284">
      <w:pPr>
        <w:autoSpaceDE w:val="0"/>
        <w:autoSpaceDN w:val="0"/>
        <w:adjustRightInd w:val="0"/>
        <w:spacing w:after="0" w:line="240" w:lineRule="auto"/>
        <w:jc w:val="both"/>
      </w:pPr>
    </w:p>
    <w:p w:rsidR="00FD6FEA" w:rsidRDefault="00FD6FEA" w:rsidP="00272284">
      <w:pPr>
        <w:autoSpaceDE w:val="0"/>
        <w:autoSpaceDN w:val="0"/>
        <w:adjustRightInd w:val="0"/>
        <w:spacing w:after="0" w:line="240" w:lineRule="auto"/>
        <w:jc w:val="both"/>
      </w:pPr>
    </w:p>
    <w:p w:rsidR="00FD6FEA" w:rsidRDefault="00FD6FEA" w:rsidP="00272284">
      <w:pPr>
        <w:autoSpaceDE w:val="0"/>
        <w:autoSpaceDN w:val="0"/>
        <w:adjustRightInd w:val="0"/>
        <w:spacing w:after="0" w:line="240" w:lineRule="auto"/>
        <w:jc w:val="both"/>
      </w:pPr>
    </w:p>
    <w:p w:rsidR="00790BB5" w:rsidRPr="00272284" w:rsidRDefault="00272284" w:rsidP="00272284">
      <w:pPr>
        <w:pStyle w:val="Prrafodelista"/>
        <w:numPr>
          <w:ilvl w:val="0"/>
          <w:numId w:val="1"/>
        </w:numPr>
        <w:tabs>
          <w:tab w:val="left" w:pos="10206"/>
        </w:tabs>
        <w:ind w:left="426"/>
        <w:jc w:val="both"/>
        <w:rPr>
          <w:sz w:val="28"/>
          <w:u w:val="single"/>
        </w:rPr>
      </w:pPr>
      <w:r>
        <w:rPr>
          <w:sz w:val="28"/>
          <w:u w:val="single"/>
        </w:rPr>
        <w:t>Mejor Póster C</w:t>
      </w:r>
      <w:r w:rsidRPr="00272284">
        <w:rPr>
          <w:sz w:val="28"/>
          <w:u w:val="single"/>
        </w:rPr>
        <w:t>línica</w:t>
      </w:r>
    </w:p>
    <w:p w:rsidR="00DF679C" w:rsidRPr="00FD6FEA" w:rsidRDefault="00DF679C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</w:rPr>
      </w:pPr>
      <w:r w:rsidRPr="00FD6FEA">
        <w:rPr>
          <w:rFonts w:ascii="Candara-Bold" w:hAnsi="Candara-Bold" w:cs="Candara-Bold"/>
          <w:b/>
          <w:bCs/>
        </w:rPr>
        <w:t>Póster N. º 76</w:t>
      </w:r>
    </w:p>
    <w:p w:rsidR="00DF679C" w:rsidRDefault="00DF679C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262626"/>
          <w:sz w:val="20"/>
          <w:szCs w:val="20"/>
        </w:rPr>
      </w:pPr>
      <w:r>
        <w:rPr>
          <w:rFonts w:ascii="Candara-Bold" w:hAnsi="Candara-Bold" w:cs="Candara-Bold"/>
          <w:b/>
          <w:bCs/>
          <w:color w:val="262626"/>
          <w:sz w:val="20"/>
          <w:szCs w:val="20"/>
        </w:rPr>
        <w:t>EL ESTADO METABÓLICO IMPACTA EN EL RIESGO DE LESIÓN HEPÁTICA</w:t>
      </w:r>
      <w:r w:rsidR="00272284">
        <w:rPr>
          <w:rFonts w:ascii="Candara-Bold" w:hAnsi="Candara-Bold" w:cs="Candara-Bold"/>
          <w:b/>
          <w:bCs/>
          <w:color w:val="262626"/>
          <w:sz w:val="20"/>
          <w:szCs w:val="20"/>
        </w:rPr>
        <w:t xml:space="preserve"> </w:t>
      </w:r>
      <w:r>
        <w:rPr>
          <w:rFonts w:ascii="Candara-Bold" w:hAnsi="Candara-Bold" w:cs="Candara-Bold"/>
          <w:b/>
          <w:bCs/>
          <w:color w:val="262626"/>
          <w:sz w:val="20"/>
          <w:szCs w:val="20"/>
        </w:rPr>
        <w:t>EN PACIENTES EGHNA MÁS ALLÁ DE LA OBESIDAD</w:t>
      </w:r>
    </w:p>
    <w:p w:rsidR="00DF679C" w:rsidRPr="001D6BC7" w:rsidRDefault="00DF679C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sz w:val="20"/>
          <w:szCs w:val="20"/>
        </w:rPr>
      </w:pPr>
      <w:r w:rsidRPr="001D6BC7">
        <w:rPr>
          <w:rFonts w:ascii="Candara-Italic" w:hAnsi="Candara-Italic" w:cs="Candara-Italic"/>
          <w:b/>
          <w:i/>
          <w:iCs/>
          <w:szCs w:val="20"/>
        </w:rPr>
        <w:t>Javier Ampuero</w:t>
      </w:r>
      <w:r w:rsidRPr="001D6BC7">
        <w:rPr>
          <w:rFonts w:ascii="Candara-Italic" w:hAnsi="Candara-Italic" w:cs="Candara-Italic"/>
          <w:i/>
          <w:iCs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(1) | Rocío Aller (2) | Rocío Gallego-Durán (1) | Jesús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Bañales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(3) |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>Javier Crespo (4) | Natalia Mora- Cuadrado (2) | Carmelo García-Monzón (5) | María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Jesús Pareja (6) | Eduardo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Vilar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>-Gómez (7) | Raúl Jiménez-Agüero (8) | Juan</w:t>
      </w:r>
      <w:r w:rsidR="001373DA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>Caballería (9) | María T. Arias-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Loste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(4) | Desamparados Escudero-García (10) | Judith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>Gomez-Camarero (11) | José Luis Calleja (12) | Daniel A. De Luis Román (2) | Águeda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González-Rodríguez (5) | Mercedes Latorre (13) | Agustín Albillos (14) | Victor Aguilar-Urbano (15) | Javier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Salmeron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(16) | José Luis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Olcoz-Goñi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(17) | Patricia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Aspichueta</w:t>
      </w:r>
      <w:proofErr w:type="spellEnd"/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(18) | Álvaro Santos-Laso (8) | Oreste Lo Iacono (19) | Paula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Iruzubieta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(4) | Isabel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Graupera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(9) |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Marissa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García-Torres (10) | Esther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Badía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>-Aranda (11) | Javier Abad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(12) | Rubén Francés (20) | Helena Pastor-Ramírez (1) | Elvira del Pozo-Maroto (5)| Moisés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Diago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(13) | Rosa Martín-Mateos (14) | Salvador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Benlloch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(21) | Conrado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>Fernández-Rodríguez (22) | Javier García-Samaniego (23) | Pamela Estévez (24) |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>Raúl J. Andrade (25) | Juan Turnes (26) | Manuel Romero-Gómez (1).</w:t>
      </w:r>
    </w:p>
    <w:p w:rsidR="001D6BC7" w:rsidRDefault="003A6BF7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color w:val="257EFF"/>
          <w:sz w:val="20"/>
          <w:szCs w:val="20"/>
        </w:rPr>
      </w:pPr>
      <w:r>
        <w:rPr>
          <w:rFonts w:ascii="Candara-Italic" w:hAnsi="Candara-Italic" w:cs="Candara-Italic"/>
          <w:i/>
          <w:iCs/>
          <w:noProof/>
          <w:color w:val="257EFF"/>
          <w:sz w:val="20"/>
          <w:szCs w:val="20"/>
          <w:lang w:eastAsia="es-ES"/>
        </w:rPr>
        <w:pict>
          <v:shape id="_x0000_s1029" type="#_x0000_t32" style="position:absolute;left:0;text-align:left;margin-left:1.15pt;margin-top:7.3pt;width:523.5pt;height:0;z-index:251660288" o:connectortype="straight" strokeweight="1pt"/>
        </w:pict>
      </w:r>
    </w:p>
    <w:p w:rsidR="001373DA" w:rsidRPr="00FD6FEA" w:rsidRDefault="00DF679C" w:rsidP="00FD6FEA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color w:val="262626"/>
          <w:sz w:val="20"/>
          <w:szCs w:val="20"/>
        </w:rPr>
      </w:pP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1- Hospital Universitario Virgen del Rocio, Sevilla. Instituto de Biomedicina de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Sevilla.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| 2- Hospital Clínico Universitario de Valladolid. Centro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deInvestigación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de Endocrinología y Nutrición. Universidad de Valladolid. | 3-</w:t>
      </w:r>
      <w:r w:rsidR="001373DA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Instituto de Investigación sanitaria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Biodonostia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– Hospital Universitario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deDonostia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–, Universidad del País VASCO (UPV/EHU),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Ikerbasque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, San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Sebastián | 4- Hospital Universitario Marqués de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Valdecilla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, Santander. | 5- Hospital</w:t>
      </w:r>
      <w:r w:rsidR="001373DA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Universitario Santa Cristina Instituto de Investigación Sanitaria Princesa, Madrid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| 6- Hospital Universitario Juan Ramón Jiménez,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lastRenderedPageBreak/>
        <w:t>Huelva | 7- Instituto Nacional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de Gastroenterología, La Habana, Cuba | 8- Instituto de Investigación Sanitaria</w:t>
      </w:r>
      <w:r w:rsidR="001373DA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Biodonostia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– Hospital Universitario de Donostia –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Universidad del País Vasco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(UPV/EHU),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Ikerbasque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San Sebastián | 9- Hospital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Clínic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.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Institut</w:t>
      </w:r>
      <w:proofErr w:type="spellEnd"/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d’Investigacions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Biomèdiques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August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Pi i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Sunyer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(IDIBPAS). Centro de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Investigación en Red de Enfermedades Hepáticas y Digestivas (CIBEREHD).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B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arcelona | 10- Hospital Clínico de Valencia | 11- Hospital Universitario de Burgos |12- Hospital Universitario Puerta de Hierro, Madrid | 13- Hospital General</w:t>
      </w:r>
      <w:r w:rsidR="001373DA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Universitario de Valencia | 14- Hospital Universitario Ramón y Cajal, Madrid |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15- Agencia Sanitaria Costa del Sol, Marbella | 16- Hospital Universitario San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Cecilio, Granada | 17- Hospital Universitario de León | 18- Instituto de Investigación</w:t>
      </w:r>
      <w:r w:rsidR="001373DA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Sanitaria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Biocruces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Barakaldo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.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Departmento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de fisiología, Facultad de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Medicinay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enfermería, Universidad del País Vasco UPV/EHU,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Leioa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| 19- Hospital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Univeristario</w:t>
      </w:r>
      <w:proofErr w:type="spellEnd"/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Tajo, Aranjuez | 20-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-Hospital General Universitario de Alicante.</w:t>
      </w:r>
      <w:r w:rsidRPr="00DF679C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Universidad Miguel Hernández, Alicante | 21- Hospital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Universitari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i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Politecnic</w:t>
      </w:r>
      <w:proofErr w:type="spellEnd"/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La Fe, Valencia.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| 22- Hospital Universitario Fundación de Alcorcón,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Universidad Rey Juan Carlos, Madrid | 23- Hospital Universitario La Paz.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.</w:t>
      </w:r>
      <w:r w:rsidR="001373DA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IdiPAZ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. Madrid. | 24- Complejo Hospitalario Universitario de Vigo. | 25- Unidad de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Gestión Clínica de Enfermedades Digestivas, Instituto de Investigación Biomédica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de Málaga-IBIMA, Hospital Universitario Virgen de la Victoria, Universidad de</w:t>
      </w:r>
      <w:r w:rsidR="001373DA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Málaga,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, Málaga, | 26- Complejo Hospitalario de Pontevedra.</w:t>
      </w:r>
    </w:p>
    <w:p w:rsidR="00790BB5" w:rsidRPr="00272284" w:rsidRDefault="00272284" w:rsidP="00272284">
      <w:pPr>
        <w:pStyle w:val="Prrafodelista"/>
        <w:numPr>
          <w:ilvl w:val="0"/>
          <w:numId w:val="1"/>
        </w:numPr>
        <w:tabs>
          <w:tab w:val="left" w:pos="10206"/>
        </w:tabs>
        <w:ind w:left="426"/>
        <w:jc w:val="both"/>
        <w:rPr>
          <w:sz w:val="28"/>
          <w:u w:val="single"/>
        </w:rPr>
      </w:pPr>
      <w:r>
        <w:rPr>
          <w:sz w:val="28"/>
          <w:u w:val="single"/>
        </w:rPr>
        <w:t>Mejor Póster B</w:t>
      </w:r>
      <w:r w:rsidR="00790BB5" w:rsidRPr="00272284">
        <w:rPr>
          <w:sz w:val="28"/>
          <w:u w:val="single"/>
        </w:rPr>
        <w:t>ásica</w:t>
      </w:r>
    </w:p>
    <w:p w:rsidR="00FD6FEA" w:rsidRPr="00FD6FEA" w:rsidRDefault="00DF679C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</w:rPr>
      </w:pPr>
      <w:r w:rsidRPr="00FD6FEA">
        <w:rPr>
          <w:rFonts w:ascii="Candara-Bold" w:hAnsi="Candara-Bold" w:cs="Candara-Bold"/>
          <w:b/>
          <w:bCs/>
        </w:rPr>
        <w:t>Póster N. º 94</w:t>
      </w:r>
    </w:p>
    <w:p w:rsidR="00DF679C" w:rsidRDefault="00DF679C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262626"/>
          <w:sz w:val="20"/>
          <w:szCs w:val="20"/>
        </w:rPr>
      </w:pPr>
      <w:r>
        <w:rPr>
          <w:rFonts w:ascii="Candara-Bold" w:hAnsi="Candara-Bold" w:cs="Candara-Bold"/>
          <w:b/>
          <w:bCs/>
          <w:color w:val="262626"/>
          <w:sz w:val="20"/>
          <w:szCs w:val="20"/>
        </w:rPr>
        <w:t>LAS VESÍCULAS EXTRACELULARES DE SUERO CONTIENEN</w:t>
      </w:r>
      <w:r w:rsidR="00272284">
        <w:rPr>
          <w:rFonts w:ascii="Candara-Bold" w:hAnsi="Candara-Bold" w:cs="Candara-Bold"/>
          <w:b/>
          <w:bCs/>
          <w:color w:val="262626"/>
          <w:sz w:val="20"/>
          <w:szCs w:val="20"/>
        </w:rPr>
        <w:t xml:space="preserve"> </w:t>
      </w:r>
      <w:r>
        <w:rPr>
          <w:rFonts w:ascii="Candara-Bold" w:hAnsi="Candara-Bold" w:cs="Candara-Bold"/>
          <w:b/>
          <w:bCs/>
          <w:color w:val="262626"/>
          <w:sz w:val="20"/>
          <w:szCs w:val="20"/>
        </w:rPr>
        <w:t>BIOMARCADORES DE MRNA PARA LA COLANGITIS ESCLEROSANTE</w:t>
      </w:r>
      <w:r w:rsidR="00272284">
        <w:rPr>
          <w:rFonts w:ascii="Candara-Bold" w:hAnsi="Candara-Bold" w:cs="Candara-Bold"/>
          <w:b/>
          <w:bCs/>
          <w:color w:val="262626"/>
          <w:sz w:val="20"/>
          <w:szCs w:val="20"/>
        </w:rPr>
        <w:t xml:space="preserve"> </w:t>
      </w:r>
      <w:r>
        <w:rPr>
          <w:rFonts w:ascii="Candara-Bold" w:hAnsi="Candara-Bold" w:cs="Candara-Bold"/>
          <w:b/>
          <w:bCs/>
          <w:color w:val="262626"/>
          <w:sz w:val="20"/>
          <w:szCs w:val="20"/>
        </w:rPr>
        <w:t>PRIMARIA (PSC) Y EL COLANGIOCARCINOMA (CCA)</w:t>
      </w:r>
    </w:p>
    <w:p w:rsidR="00DF679C" w:rsidRPr="001D6BC7" w:rsidRDefault="00DF679C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sz w:val="20"/>
          <w:szCs w:val="20"/>
        </w:rPr>
      </w:pPr>
      <w:proofErr w:type="spellStart"/>
      <w:r w:rsidRPr="001D6BC7">
        <w:rPr>
          <w:rFonts w:ascii="Candara-Italic" w:hAnsi="Candara-Italic" w:cs="Candara-Italic"/>
          <w:b/>
          <w:i/>
          <w:iCs/>
          <w:szCs w:val="20"/>
        </w:rPr>
        <w:t>Ander</w:t>
      </w:r>
      <w:proofErr w:type="spellEnd"/>
      <w:r w:rsidRPr="001D6BC7">
        <w:rPr>
          <w:rFonts w:ascii="Candara-Italic" w:hAnsi="Candara-Italic" w:cs="Candara-Italic"/>
          <w:b/>
          <w:i/>
          <w:iCs/>
          <w:szCs w:val="20"/>
        </w:rPr>
        <w:t xml:space="preserve"> </w:t>
      </w:r>
      <w:proofErr w:type="spellStart"/>
      <w:r w:rsidRPr="001D6BC7">
        <w:rPr>
          <w:rFonts w:ascii="Candara-Italic" w:hAnsi="Candara-Italic" w:cs="Candara-Italic"/>
          <w:b/>
          <w:i/>
          <w:iCs/>
          <w:szCs w:val="20"/>
        </w:rPr>
        <w:t>Arbelaiz</w:t>
      </w:r>
      <w:proofErr w:type="spellEnd"/>
      <w:r w:rsidRPr="001D6BC7">
        <w:rPr>
          <w:rFonts w:ascii="Candara-Italic" w:hAnsi="Candara-Italic" w:cs="Candara-Italic"/>
          <w:i/>
          <w:iCs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(1) | Ainhoa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Lapitz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(1) |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Marcin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Krawczyk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(2, 3) | José Luis Lavín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(4) | Alvaro Santos-Laso (1) | Maria J.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Perugorria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(1, 5, 6) | Raul Jimenez-Agüero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(1) | Adelaida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Lacasta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(1) | Cesar Ibarra (7) | Alberto Sanchez-Campos (7) | Juan P.</w:t>
      </w:r>
    </w:p>
    <w:p w:rsidR="00DF679C" w:rsidRDefault="00DF679C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sz w:val="20"/>
          <w:szCs w:val="20"/>
        </w:rPr>
      </w:pP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Jimeno (8) | Esperanza Gonzalez (9) | Frank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Lammert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(2) | Marco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Marzioni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(10) |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Rocio I.R. Macias (5, 11) | Tom H.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Karlsen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(12, 13) | Juan M.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Falcon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>-Perez (5, 6, 9) | Ana</w:t>
      </w:r>
      <w:r w:rsidR="00272284"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</w:t>
      </w:r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Mª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Aransay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(4, 5) | Luis </w:t>
      </w:r>
      <w:proofErr w:type="spellStart"/>
      <w:r w:rsidRPr="001D6BC7">
        <w:rPr>
          <w:rFonts w:ascii="Candara-Italic" w:hAnsi="Candara-Italic" w:cs="Candara-Italic"/>
          <w:i/>
          <w:iCs/>
          <w:sz w:val="20"/>
          <w:szCs w:val="20"/>
        </w:rPr>
        <w:t>Bujanda</w:t>
      </w:r>
      <w:proofErr w:type="spellEnd"/>
      <w:r w:rsidRPr="001D6BC7">
        <w:rPr>
          <w:rFonts w:ascii="Candara-Italic" w:hAnsi="Candara-Italic" w:cs="Candara-Italic"/>
          <w:i/>
          <w:iCs/>
          <w:sz w:val="20"/>
          <w:szCs w:val="20"/>
        </w:rPr>
        <w:t xml:space="preserve"> (1, 5) | Jesus M. Banales (1, 5, 6).</w:t>
      </w:r>
    </w:p>
    <w:p w:rsidR="001D6BC7" w:rsidRPr="001D6BC7" w:rsidRDefault="003A6BF7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sz w:val="20"/>
          <w:szCs w:val="20"/>
        </w:rPr>
      </w:pPr>
      <w:r>
        <w:rPr>
          <w:rFonts w:ascii="Candara-Italic" w:hAnsi="Candara-Italic" w:cs="Candara-Italic"/>
          <w:i/>
          <w:iCs/>
          <w:noProof/>
          <w:sz w:val="20"/>
          <w:szCs w:val="20"/>
          <w:lang w:eastAsia="es-ES"/>
        </w:rPr>
        <w:pict>
          <v:shape id="_x0000_s1030" type="#_x0000_t32" style="position:absolute;left:0;text-align:left;margin-left:1.15pt;margin-top:7.9pt;width:523.5pt;height:0;z-index:251661312" o:connectortype="straight" strokeweight="1pt"/>
        </w:pict>
      </w:r>
    </w:p>
    <w:p w:rsidR="00DF679C" w:rsidRDefault="00DF679C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color w:val="262626"/>
          <w:sz w:val="20"/>
          <w:szCs w:val="20"/>
        </w:rPr>
      </w:pP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1- Departamento de Enfermedades Hepáticas y Gastrointestinales, Instituto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de Investigación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Biodonostia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- Hospital Universitario Donostia, Universidad del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País Vasco (UPV/EHU), San Sebastián, España | 2- Departamento de Medicina II,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Saarland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University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Medical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Center,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Saarland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University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</w:t>
      </w:r>
      <w:proofErr w:type="spellStart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Homburg</w:t>
      </w:r>
      <w:proofErr w:type="spellEnd"/>
      <w:r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>, Alemania |</w:t>
      </w:r>
      <w:r w:rsidR="00272284" w:rsidRP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3- Laboratorio de Enfermedades Metabólicas Hepáticas, Departamento de Cirugía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General, Hepática y de Trasplante, “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Medical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University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of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Warsaw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”, Varsovia,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Polonia | 4- Plataforma de Análisis Genético, CIC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bioGUNE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Bizkaia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Technology</w:t>
      </w:r>
      <w:proofErr w:type="spellEnd"/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Park,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Derio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, Spain | 5- Instituto Nacional de para el Estudio del Hígado y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Enfermedades Gastrointestinales (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CIBERehd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), Instituto de Salud Carlos III,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Madrid, España | 6- IKERBASQUE, Fundación Vasca para la Ciencia, Bilbao, España;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7- Hospital de Cruces, Bilbao, España | 7- Hospital de Cruces, Bilbao, España |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8- Complejo Hospitalario de Navarra, Pamplona, España | 9- Laboratorio de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Exosomas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CIC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bioGUNE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Derio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, España | 10- Departamento de Gastroenterología,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“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Università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Politecnica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delle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Marche”, Ancona, Italia | 11- Grupo de Hepatología</w:t>
      </w:r>
    </w:p>
    <w:p w:rsidR="00DF679C" w:rsidRDefault="00DF679C" w:rsidP="00272284">
      <w:pPr>
        <w:autoSpaceDE w:val="0"/>
        <w:autoSpaceDN w:val="0"/>
        <w:adjustRightInd w:val="0"/>
        <w:spacing w:after="0" w:line="240" w:lineRule="auto"/>
        <w:jc w:val="both"/>
        <w:rPr>
          <w:rFonts w:ascii="Candara-Italic" w:hAnsi="Candara-Italic" w:cs="Candara-Italic"/>
          <w:i/>
          <w:iCs/>
          <w:color w:val="262626"/>
          <w:sz w:val="20"/>
          <w:szCs w:val="20"/>
        </w:rPr>
      </w:pP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Experimental y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Vectorización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de Fármacos (HEVEFARM), Instituto de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Investigación Biomédica de Salamanca (IBSAL), Universidad de Salamanca,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Salamanca, España; | 12- Centro de Investigación para la PSC, División de medicina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del cáncer, cirugía y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transplante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, Hospital Universitario de Oslo,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Rikshospitalet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,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Oslo, Noruego | 13- Instituto de Investigación de Medicina Interna, Hospital</w:t>
      </w:r>
      <w:r w:rsidR="00272284"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 </w:t>
      </w:r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 xml:space="preserve">Universitario de Oslo, </w:t>
      </w:r>
      <w:proofErr w:type="spellStart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Rikshospitalet</w:t>
      </w:r>
      <w:proofErr w:type="spellEnd"/>
      <w:r>
        <w:rPr>
          <w:rFonts w:ascii="Candara-Italic" w:hAnsi="Candara-Italic" w:cs="Candara-Italic"/>
          <w:i/>
          <w:iCs/>
          <w:color w:val="262626"/>
          <w:sz w:val="20"/>
          <w:szCs w:val="20"/>
        </w:rPr>
        <w:t>, Oslo, Noruega.</w:t>
      </w:r>
    </w:p>
    <w:p w:rsidR="00DF679C" w:rsidRDefault="00DF679C" w:rsidP="00DF679C">
      <w:r>
        <w:rPr>
          <w:rFonts w:ascii="Candara-Bold" w:hAnsi="Candara-Bold" w:cs="Candara-Bold"/>
          <w:b/>
          <w:bCs/>
          <w:color w:val="FFFFFF"/>
          <w:sz w:val="14"/>
          <w:szCs w:val="14"/>
        </w:rPr>
        <w:t>Congreso Anual de la AEEH</w:t>
      </w:r>
    </w:p>
    <w:p w:rsidR="00790BB5" w:rsidRDefault="00790BB5"/>
    <w:p w:rsidR="00790BB5" w:rsidRDefault="00790BB5"/>
    <w:sectPr w:rsidR="00790BB5" w:rsidSect="001373DA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-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ndara-Italic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7C37"/>
    <w:multiLevelType w:val="hybridMultilevel"/>
    <w:tmpl w:val="15C0E244"/>
    <w:lvl w:ilvl="0" w:tplc="25DA681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90BB5"/>
    <w:rsid w:val="000C0145"/>
    <w:rsid w:val="000E74A1"/>
    <w:rsid w:val="001373DA"/>
    <w:rsid w:val="001D6BC7"/>
    <w:rsid w:val="00272284"/>
    <w:rsid w:val="003A6BF7"/>
    <w:rsid w:val="00541694"/>
    <w:rsid w:val="00615478"/>
    <w:rsid w:val="00790BB5"/>
    <w:rsid w:val="00DF679C"/>
    <w:rsid w:val="00EC266F"/>
    <w:rsid w:val="00FD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6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 Sanitària Clínic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Corporació Sanitària Clínic</dc:creator>
  <cp:lastModifiedBy>Alberto Blanco</cp:lastModifiedBy>
  <cp:revision>2</cp:revision>
  <cp:lastPrinted>2018-02-23T09:17:00Z</cp:lastPrinted>
  <dcterms:created xsi:type="dcterms:W3CDTF">2018-02-27T11:25:00Z</dcterms:created>
  <dcterms:modified xsi:type="dcterms:W3CDTF">2018-02-27T11:25:00Z</dcterms:modified>
</cp:coreProperties>
</file>